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75"/>
        <w:gridCol w:w="8313"/>
      </w:tblGrid>
      <w:tr w:rsidR="00472C15" w:rsidRPr="00CB7A8C" w:rsidTr="003B75C6">
        <w:trPr>
          <w:trHeight w:val="901"/>
        </w:trPr>
        <w:tc>
          <w:tcPr>
            <w:tcW w:w="996" w:type="pct"/>
          </w:tcPr>
          <w:p w:rsidR="00472C15" w:rsidRPr="00CB7A8C" w:rsidRDefault="001149EA" w:rsidP="003B75C6">
            <w:pPr>
              <w:rPr>
                <w:rFonts w:ascii="Arial" w:hAnsi="Arial" w:cs="Arial"/>
                <w:sz w:val="16"/>
                <w:szCs w:val="16"/>
              </w:rPr>
            </w:pPr>
            <w:r>
              <w:rPr>
                <w:rFonts w:ascii="Arial" w:hAnsi="Arial" w:cs="Arial"/>
                <w:noProof/>
                <w:sz w:val="16"/>
                <w:szCs w:val="16"/>
              </w:rPr>
              <w:drawing>
                <wp:inline distT="0" distB="0" distL="0" distR="0">
                  <wp:extent cx="1381125" cy="638175"/>
                  <wp:effectExtent l="0" t="0" r="0" b="0"/>
                  <wp:docPr id="1" name="Picture 1" descr="A4-LH-Corporate-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H-Corporate-Gr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inline>
              </w:drawing>
            </w:r>
          </w:p>
        </w:tc>
        <w:tc>
          <w:tcPr>
            <w:tcW w:w="4004" w:type="pct"/>
          </w:tcPr>
          <w:p w:rsidR="00472C15" w:rsidRPr="00CB7A8C" w:rsidRDefault="00472C15" w:rsidP="003B75C6">
            <w:pPr>
              <w:rPr>
                <w:rFonts w:ascii="Arial" w:hAnsi="Arial" w:cs="Arial"/>
                <w:sz w:val="16"/>
                <w:szCs w:val="16"/>
              </w:rPr>
            </w:pPr>
          </w:p>
          <w:p w:rsidR="00472C15" w:rsidRPr="00CB7A8C" w:rsidRDefault="00472C15" w:rsidP="003B75C6">
            <w:pPr>
              <w:rPr>
                <w:rFonts w:ascii="Arial" w:hAnsi="Arial" w:cs="Arial"/>
                <w:sz w:val="16"/>
                <w:szCs w:val="16"/>
              </w:rPr>
            </w:pPr>
          </w:p>
          <w:p w:rsidR="00472C15" w:rsidRPr="00CB7A8C" w:rsidRDefault="00472C15" w:rsidP="003B75C6">
            <w:pPr>
              <w:rPr>
                <w:rFonts w:ascii="Arial" w:hAnsi="Arial" w:cs="Arial"/>
                <w:sz w:val="16"/>
                <w:szCs w:val="16"/>
              </w:rPr>
            </w:pPr>
          </w:p>
          <w:p w:rsidR="00472C15" w:rsidRPr="00CB7A8C" w:rsidRDefault="00472C15" w:rsidP="003B75C6">
            <w:pPr>
              <w:rPr>
                <w:rFonts w:ascii="Arial" w:hAnsi="Arial" w:cs="Arial"/>
                <w:sz w:val="16"/>
                <w:szCs w:val="16"/>
              </w:rPr>
            </w:pPr>
          </w:p>
          <w:p w:rsidR="00472C15" w:rsidRPr="00CB7A8C" w:rsidRDefault="00AD2212" w:rsidP="00B346F9">
            <w:pPr>
              <w:jc w:val="right"/>
              <w:rPr>
                <w:rFonts w:ascii="Arial" w:hAnsi="Arial" w:cs="Arial"/>
                <w:sz w:val="17"/>
                <w:szCs w:val="17"/>
              </w:rPr>
            </w:pPr>
            <w:bookmarkStart w:id="0" w:name="FuncStream"/>
            <w:r>
              <w:rPr>
                <w:rFonts w:ascii="Arial" w:hAnsi="Arial" w:cs="Arial"/>
                <w:sz w:val="17"/>
                <w:szCs w:val="17"/>
              </w:rPr>
              <w:t>FREEDOM OF INFORMATION</w:t>
            </w:r>
            <w:bookmarkEnd w:id="0"/>
          </w:p>
        </w:tc>
      </w:tr>
      <w:tr w:rsidR="009E22D0" w:rsidRPr="00CB7A8C" w:rsidTr="003B75C6">
        <w:trPr>
          <w:trHeight w:val="80"/>
        </w:trPr>
        <w:tc>
          <w:tcPr>
            <w:tcW w:w="996" w:type="pct"/>
            <w:vAlign w:val="center"/>
          </w:tcPr>
          <w:p w:rsidR="009E22D0" w:rsidRPr="00CB7A8C" w:rsidRDefault="009E22D0" w:rsidP="009E22D0">
            <w:pPr>
              <w:jc w:val="right"/>
              <w:rPr>
                <w:rFonts w:ascii="Arial" w:hAnsi="Arial" w:cs="Arial"/>
                <w:sz w:val="6"/>
                <w:szCs w:val="6"/>
              </w:rPr>
            </w:pPr>
          </w:p>
        </w:tc>
        <w:tc>
          <w:tcPr>
            <w:tcW w:w="4004" w:type="pct"/>
            <w:vAlign w:val="center"/>
          </w:tcPr>
          <w:p w:rsidR="009E22D0" w:rsidRPr="00CB7A8C" w:rsidRDefault="009E22D0" w:rsidP="009E22D0">
            <w:pPr>
              <w:jc w:val="right"/>
              <w:rPr>
                <w:rFonts w:ascii="Arial" w:hAnsi="Arial" w:cs="Arial"/>
                <w:sz w:val="6"/>
                <w:szCs w:val="6"/>
              </w:rPr>
            </w:pPr>
          </w:p>
        </w:tc>
      </w:tr>
      <w:tr w:rsidR="00472C15" w:rsidRPr="00CB7A8C">
        <w:trPr>
          <w:trHeight w:val="116"/>
        </w:trPr>
        <w:tc>
          <w:tcPr>
            <w:tcW w:w="5000" w:type="pct"/>
            <w:gridSpan w:val="2"/>
            <w:vAlign w:val="center"/>
          </w:tcPr>
          <w:p w:rsidR="00472C15" w:rsidRPr="00CB7A8C" w:rsidRDefault="00CB7A8C" w:rsidP="00BA4BE3">
            <w:pPr>
              <w:jc w:val="right"/>
              <w:rPr>
                <w:rFonts w:ascii="Arial" w:hAnsi="Arial" w:cs="Arial"/>
                <w:sz w:val="16"/>
                <w:szCs w:val="16"/>
              </w:rPr>
            </w:pPr>
            <w:bookmarkStart w:id="1" w:name="MailAddress"/>
            <w:r w:rsidRPr="00CB7A8C">
              <w:rPr>
                <w:rFonts w:ascii="Arial" w:hAnsi="Arial" w:cs="Arial"/>
                <w:sz w:val="16"/>
                <w:szCs w:val="16"/>
              </w:rPr>
              <w:t xml:space="preserve">GPO </w:t>
            </w:r>
            <w:smartTag w:uri="urn:schemas-microsoft-com:office:smarttags" w:element="address">
              <w:smartTag w:uri="urn:schemas-microsoft-com:office:smarttags" w:element="Street">
                <w:r w:rsidRPr="00CB7A8C">
                  <w:rPr>
                    <w:rFonts w:ascii="Arial" w:hAnsi="Arial" w:cs="Arial"/>
                    <w:sz w:val="16"/>
                    <w:szCs w:val="16"/>
                  </w:rPr>
                  <w:t>Box 401</w:t>
                </w:r>
              </w:smartTag>
              <w:r w:rsidRPr="00CB7A8C">
                <w:rPr>
                  <w:rFonts w:ascii="Arial" w:hAnsi="Arial" w:cs="Arial"/>
                  <w:sz w:val="16"/>
                  <w:szCs w:val="16"/>
                </w:rPr>
                <w:t xml:space="preserve"> </w:t>
              </w:r>
              <w:smartTag w:uri="urn:schemas-microsoft-com:office:smarttags" w:element="City">
                <w:r w:rsidRPr="00CB7A8C">
                  <w:rPr>
                    <w:rFonts w:ascii="Arial" w:hAnsi="Arial" w:cs="Arial"/>
                    <w:sz w:val="16"/>
                    <w:szCs w:val="16"/>
                  </w:rPr>
                  <w:t>Canberra</w:t>
                </w:r>
              </w:smartTag>
            </w:smartTag>
            <w:r w:rsidRPr="00CB7A8C">
              <w:rPr>
                <w:rFonts w:ascii="Arial" w:hAnsi="Arial" w:cs="Arial"/>
                <w:sz w:val="16"/>
                <w:szCs w:val="16"/>
              </w:rPr>
              <w:t xml:space="preserve"> City ACT 2601</w:t>
            </w:r>
            <w:bookmarkEnd w:id="1"/>
          </w:p>
          <w:p w:rsidR="00472C15" w:rsidRDefault="00102915" w:rsidP="00BA4BE3">
            <w:pPr>
              <w:jc w:val="right"/>
              <w:rPr>
                <w:rFonts w:ascii="Arial" w:hAnsi="Arial" w:cs="Arial"/>
                <w:sz w:val="16"/>
                <w:szCs w:val="16"/>
              </w:rPr>
            </w:pPr>
            <w:r w:rsidRPr="00CB7A8C">
              <w:rPr>
                <w:rFonts w:ascii="Arial" w:hAnsi="Arial" w:cs="Arial"/>
                <w:sz w:val="16"/>
                <w:szCs w:val="16"/>
              </w:rPr>
              <w:t xml:space="preserve">Telephone </w:t>
            </w:r>
            <w:bookmarkStart w:id="2" w:name="Phone"/>
            <w:r w:rsidR="00CB7A8C" w:rsidRPr="00CB7A8C">
              <w:rPr>
                <w:rFonts w:ascii="Arial" w:hAnsi="Arial" w:cs="Arial"/>
                <w:sz w:val="16"/>
                <w:szCs w:val="16"/>
              </w:rPr>
              <w:t xml:space="preserve">02 </w:t>
            </w:r>
            <w:bookmarkEnd w:id="2"/>
            <w:r w:rsidR="00F307E3">
              <w:rPr>
                <w:rFonts w:ascii="Arial" w:hAnsi="Arial" w:cs="Arial"/>
                <w:sz w:val="16"/>
                <w:szCs w:val="16"/>
              </w:rPr>
              <w:t xml:space="preserve">6131 </w:t>
            </w:r>
            <w:r w:rsidR="00612DE1">
              <w:rPr>
                <w:rFonts w:ascii="Arial" w:hAnsi="Arial" w:cs="Arial"/>
                <w:sz w:val="16"/>
                <w:szCs w:val="16"/>
              </w:rPr>
              <w:t>6131</w:t>
            </w:r>
            <w:r w:rsidR="00F307E3">
              <w:rPr>
                <w:rFonts w:ascii="Arial" w:hAnsi="Arial" w:cs="Arial"/>
                <w:sz w:val="16"/>
                <w:szCs w:val="16"/>
              </w:rPr>
              <w:t xml:space="preserve"> </w:t>
            </w:r>
            <w:r w:rsidR="00B346F9">
              <w:rPr>
                <w:rFonts w:ascii="Arial" w:hAnsi="Arial" w:cs="Arial"/>
                <w:sz w:val="16"/>
                <w:szCs w:val="16"/>
              </w:rPr>
              <w:br/>
            </w:r>
            <w:r w:rsidR="00472C15" w:rsidRPr="00CB7A8C">
              <w:rPr>
                <w:rFonts w:ascii="Arial" w:hAnsi="Arial" w:cs="Arial"/>
                <w:sz w:val="16"/>
                <w:szCs w:val="16"/>
              </w:rPr>
              <w:t xml:space="preserve">Email </w:t>
            </w:r>
            <w:bookmarkStart w:id="3" w:name="Email"/>
            <w:r w:rsidR="003C6DA4">
              <w:rPr>
                <w:rFonts w:ascii="Verdana" w:hAnsi="Verdana" w:cs="Arial"/>
                <w:sz w:val="16"/>
                <w:szCs w:val="16"/>
              </w:rPr>
              <w:fldChar w:fldCharType="begin"/>
            </w:r>
            <w:r w:rsidR="003C6DA4">
              <w:rPr>
                <w:rFonts w:ascii="Verdana" w:hAnsi="Verdana" w:cs="Arial"/>
                <w:sz w:val="16"/>
                <w:szCs w:val="16"/>
              </w:rPr>
              <w:instrText xml:space="preserve"> HYPERLINK "mailto:</w:instrText>
            </w:r>
            <w:r w:rsidR="003C6DA4" w:rsidRPr="000C3690">
              <w:rPr>
                <w:rFonts w:ascii="Verdana" w:hAnsi="Verdana" w:cs="Arial"/>
                <w:sz w:val="16"/>
                <w:szCs w:val="16"/>
              </w:rPr>
              <w:instrText>FreedomOfInformation@afp.gov.au</w:instrText>
            </w:r>
            <w:r w:rsidR="003C6DA4">
              <w:rPr>
                <w:rFonts w:ascii="Verdana" w:hAnsi="Verdana" w:cs="Arial"/>
                <w:sz w:val="16"/>
                <w:szCs w:val="16"/>
              </w:rPr>
              <w:instrText xml:space="preserve">" </w:instrText>
            </w:r>
            <w:r w:rsidR="003C6DA4">
              <w:rPr>
                <w:rFonts w:ascii="Verdana" w:hAnsi="Verdana" w:cs="Arial"/>
                <w:sz w:val="16"/>
                <w:szCs w:val="16"/>
              </w:rPr>
              <w:fldChar w:fldCharType="separate"/>
            </w:r>
            <w:bookmarkEnd w:id="3"/>
            <w:r w:rsidR="003C6DA4">
              <w:rPr>
                <w:rStyle w:val="Hyperlink"/>
                <w:rFonts w:ascii="Verdana" w:hAnsi="Verdana" w:cs="Arial"/>
                <w:sz w:val="16"/>
                <w:szCs w:val="16"/>
              </w:rPr>
              <w:t>foi@afp.gov.au</w:t>
            </w:r>
            <w:r w:rsidR="003C6DA4">
              <w:rPr>
                <w:rFonts w:ascii="Verdana" w:hAnsi="Verdana" w:cs="Arial"/>
                <w:sz w:val="16"/>
                <w:szCs w:val="16"/>
              </w:rPr>
              <w:fldChar w:fldCharType="end"/>
            </w:r>
          </w:p>
          <w:p w:rsidR="00472C15" w:rsidRDefault="00E53ED2" w:rsidP="00BA4BE3">
            <w:pPr>
              <w:jc w:val="right"/>
              <w:rPr>
                <w:rFonts w:ascii="Arial" w:hAnsi="Arial" w:cs="Arial"/>
                <w:sz w:val="16"/>
                <w:szCs w:val="16"/>
              </w:rPr>
            </w:pPr>
            <w:hyperlink r:id="rId9" w:history="1">
              <w:r w:rsidR="00AD2212" w:rsidRPr="00704299">
                <w:rPr>
                  <w:rStyle w:val="Hyperlink"/>
                  <w:rFonts w:ascii="Arial" w:hAnsi="Arial" w:cs="Arial"/>
                  <w:sz w:val="16"/>
                  <w:szCs w:val="16"/>
                </w:rPr>
                <w:t>www.afp.gov.au</w:t>
              </w:r>
            </w:hyperlink>
          </w:p>
          <w:p w:rsidR="00472C15" w:rsidRPr="00CB7A8C" w:rsidRDefault="00472C15" w:rsidP="00BA4BE3">
            <w:pPr>
              <w:jc w:val="right"/>
              <w:rPr>
                <w:rFonts w:ascii="Arial" w:hAnsi="Arial" w:cs="Arial"/>
                <w:sz w:val="10"/>
                <w:szCs w:val="10"/>
              </w:rPr>
            </w:pPr>
            <w:r w:rsidRPr="00CB7A8C">
              <w:rPr>
                <w:rFonts w:ascii="Arial" w:hAnsi="Arial" w:cs="Arial"/>
                <w:sz w:val="10"/>
                <w:szCs w:val="10"/>
              </w:rPr>
              <w:t>ABN 17 864 931 143</w:t>
            </w:r>
          </w:p>
        </w:tc>
      </w:tr>
    </w:tbl>
    <w:p w:rsidR="009E22D0" w:rsidRPr="00CB7A8C" w:rsidRDefault="009E22D0" w:rsidP="00E948A8">
      <w:pPr>
        <w:rPr>
          <w:rFonts w:ascii="Arial" w:hAnsi="Arial" w:cs="Arial"/>
        </w:rPr>
        <w:sectPr w:rsidR="009E22D0" w:rsidRPr="00CB7A8C" w:rsidSect="003B75C6">
          <w:pgSz w:w="11906" w:h="16838" w:code="9"/>
          <w:pgMar w:top="851" w:right="851" w:bottom="851" w:left="567" w:header="709" w:footer="709" w:gutter="0"/>
          <w:cols w:space="708"/>
          <w:docGrid w:linePitch="360"/>
        </w:sectPr>
      </w:pPr>
    </w:p>
    <w:p w:rsidR="00CE7E28" w:rsidRDefault="00CE7E28" w:rsidP="00E948A8">
      <w:pPr>
        <w:rPr>
          <w:rFonts w:ascii="Arial" w:hAnsi="Arial" w:cs="Arial"/>
        </w:rPr>
      </w:pPr>
    </w:p>
    <w:p w:rsidR="00FC5E7B" w:rsidRPr="00DE550C" w:rsidRDefault="00FC5E7B" w:rsidP="00E8193A">
      <w:pPr>
        <w:rPr>
          <w:rFonts w:ascii="Verdana" w:hAnsi="Verdana" w:cs="Arial"/>
        </w:rPr>
      </w:pPr>
      <w:r w:rsidRPr="00DE550C">
        <w:rPr>
          <w:rFonts w:ascii="Verdana" w:hAnsi="Verdana" w:cs="Arial"/>
        </w:rPr>
        <w:t xml:space="preserve">Our Ref: CRM </w:t>
      </w:r>
      <w:r w:rsidR="00DE550C" w:rsidRPr="00DE550C">
        <w:rPr>
          <w:rFonts w:ascii="Verdana" w:hAnsi="Verdana" w:cs="Arial"/>
        </w:rPr>
        <w:t>2016/324</w:t>
      </w:r>
    </w:p>
    <w:p w:rsidR="00FC5E7B" w:rsidRPr="00DE550C" w:rsidRDefault="00FC5E7B" w:rsidP="00FC5E7B">
      <w:pPr>
        <w:jc w:val="center"/>
        <w:rPr>
          <w:rFonts w:ascii="Verdana" w:hAnsi="Verdana"/>
          <w:b/>
        </w:rPr>
      </w:pPr>
    </w:p>
    <w:p w:rsidR="00FC5E7B" w:rsidRPr="00DE550C" w:rsidRDefault="00FC5E7B" w:rsidP="00FC5E7B">
      <w:pPr>
        <w:rPr>
          <w:rFonts w:ascii="Verdana" w:hAnsi="Verdana" w:cs="Arial"/>
        </w:rPr>
      </w:pPr>
      <w:bookmarkStart w:id="4" w:name="_GoBack"/>
      <w:bookmarkEnd w:id="4"/>
    </w:p>
    <w:p w:rsidR="00FC5E7B" w:rsidRPr="00DE550C" w:rsidRDefault="00E53ED2" w:rsidP="00FC5E7B">
      <w:pPr>
        <w:rPr>
          <w:rFonts w:ascii="Verdana" w:hAnsi="Verdana" w:cs="Arial"/>
        </w:rPr>
      </w:pPr>
      <w:r>
        <w:rPr>
          <w:rFonts w:ascii="Verdana" w:hAnsi="Verdana" w:cs="Arial"/>
        </w:rPr>
        <w:t xml:space="preserve">22 </w:t>
      </w:r>
      <w:r w:rsidR="00E8193A" w:rsidRPr="00DE550C">
        <w:rPr>
          <w:rFonts w:ascii="Verdana" w:hAnsi="Verdana" w:cs="Arial"/>
        </w:rPr>
        <w:t>January 2016</w:t>
      </w:r>
    </w:p>
    <w:p w:rsidR="00FC5E7B" w:rsidRPr="00DE550C" w:rsidRDefault="00FC5E7B" w:rsidP="00FC5E7B">
      <w:pPr>
        <w:rPr>
          <w:rFonts w:ascii="Verdana" w:hAnsi="Verdana" w:cs="Arial"/>
        </w:rPr>
      </w:pPr>
    </w:p>
    <w:p w:rsidR="00FC5E7B" w:rsidRPr="00DE550C" w:rsidRDefault="00FC5E7B" w:rsidP="00FC5E7B">
      <w:pPr>
        <w:rPr>
          <w:rFonts w:ascii="Verdana" w:hAnsi="Verdana" w:cs="Arial"/>
        </w:rPr>
      </w:pPr>
    </w:p>
    <w:p w:rsidR="00E8193A" w:rsidRPr="00DE550C" w:rsidRDefault="00DE550C" w:rsidP="00FC5E7B">
      <w:pPr>
        <w:rPr>
          <w:rFonts w:ascii="Verdana" w:hAnsi="Verdana" w:cs="Arial"/>
        </w:rPr>
      </w:pPr>
      <w:r w:rsidRPr="00DE550C">
        <w:rPr>
          <w:rFonts w:ascii="Verdana" w:hAnsi="Verdana" w:cs="Arial"/>
        </w:rPr>
        <w:t>Mr Ben Fairless</w:t>
      </w:r>
    </w:p>
    <w:p w:rsidR="00DE550C" w:rsidRPr="00DE550C" w:rsidRDefault="00DE550C" w:rsidP="00FC5E7B">
      <w:pPr>
        <w:rPr>
          <w:rFonts w:ascii="Verdana" w:hAnsi="Verdana" w:cs="Arial"/>
        </w:rPr>
      </w:pPr>
      <w:r w:rsidRPr="00DE550C">
        <w:rPr>
          <w:rFonts w:ascii="Verdana" w:hAnsi="Verdana" w:cs="Arial"/>
        </w:rPr>
        <w:t>Right to Know</w:t>
      </w:r>
    </w:p>
    <w:p w:rsidR="00E8193A" w:rsidRPr="00DE550C" w:rsidRDefault="00E8193A" w:rsidP="00FC5E7B">
      <w:pPr>
        <w:rPr>
          <w:rFonts w:ascii="Verdana" w:hAnsi="Verdana" w:cs="Arial"/>
        </w:rPr>
      </w:pPr>
      <w:r w:rsidRPr="00DE550C">
        <w:rPr>
          <w:rFonts w:ascii="Verdana" w:hAnsi="Verdana" w:cs="Arial"/>
        </w:rPr>
        <w:t xml:space="preserve">Email: </w:t>
      </w:r>
      <w:hyperlink r:id="rId10" w:history="1">
        <w:r w:rsidR="00DE550C" w:rsidRPr="00DE550C">
          <w:rPr>
            <w:rStyle w:val="Hyperlink"/>
            <w:rFonts w:ascii="Verdana" w:hAnsi="Verdana"/>
          </w:rPr>
          <w:t>foi+request-1498-2465996d@righttoknow.org.au</w:t>
        </w:r>
      </w:hyperlink>
      <w:r w:rsidR="00DE550C" w:rsidRPr="00DE550C">
        <w:rPr>
          <w:rFonts w:ascii="Verdana" w:hAnsi="Verdana"/>
        </w:rPr>
        <w:tab/>
      </w:r>
    </w:p>
    <w:p w:rsidR="00FC5E7B" w:rsidRPr="00DE550C" w:rsidRDefault="00FC5E7B" w:rsidP="00FC5E7B">
      <w:pPr>
        <w:rPr>
          <w:rFonts w:ascii="Verdana" w:hAnsi="Verdana" w:cs="Arial"/>
        </w:rPr>
      </w:pPr>
    </w:p>
    <w:p w:rsidR="00FC5E7B" w:rsidRPr="00DE550C" w:rsidRDefault="00FC5E7B" w:rsidP="00FC5E7B">
      <w:pPr>
        <w:rPr>
          <w:rFonts w:ascii="Verdana" w:hAnsi="Verdana" w:cs="Arial"/>
        </w:rPr>
      </w:pPr>
    </w:p>
    <w:p w:rsidR="00FC5E7B" w:rsidRPr="00DE550C" w:rsidRDefault="00FC5E7B" w:rsidP="00FC5E7B">
      <w:pPr>
        <w:rPr>
          <w:rFonts w:ascii="Verdana" w:hAnsi="Verdana" w:cs="Arial"/>
        </w:rPr>
      </w:pPr>
      <w:r w:rsidRPr="00DE550C">
        <w:rPr>
          <w:rFonts w:ascii="Verdana" w:hAnsi="Verdana" w:cs="Arial"/>
        </w:rPr>
        <w:t xml:space="preserve">Dear </w:t>
      </w:r>
      <w:r w:rsidR="00DE550C" w:rsidRPr="00DE550C">
        <w:rPr>
          <w:rFonts w:ascii="Verdana" w:hAnsi="Verdana" w:cs="Arial"/>
        </w:rPr>
        <w:t>Mr Fairless</w:t>
      </w:r>
      <w:r w:rsidR="00E8193A" w:rsidRPr="00DE550C">
        <w:rPr>
          <w:rFonts w:ascii="Verdana" w:hAnsi="Verdana" w:cs="Arial"/>
        </w:rPr>
        <w:t>,</w:t>
      </w:r>
    </w:p>
    <w:p w:rsidR="00FC5E7B" w:rsidRPr="00DE550C" w:rsidRDefault="00FC5E7B" w:rsidP="00FC5E7B">
      <w:pPr>
        <w:rPr>
          <w:rFonts w:ascii="Verdana" w:hAnsi="Verdana" w:cs="Arial"/>
        </w:rPr>
      </w:pPr>
      <w:r w:rsidRPr="00DE550C">
        <w:rPr>
          <w:rFonts w:ascii="Verdana" w:hAnsi="Verdana" w:cs="Arial"/>
        </w:rPr>
        <w:tab/>
      </w:r>
    </w:p>
    <w:p w:rsidR="00612DE1" w:rsidRPr="00DE550C" w:rsidRDefault="00FC5E7B" w:rsidP="00D15A74">
      <w:pPr>
        <w:rPr>
          <w:rFonts w:ascii="Verdana" w:hAnsi="Verdana" w:cs="Arial"/>
          <w:b/>
        </w:rPr>
      </w:pPr>
      <w:r w:rsidRPr="00DE550C">
        <w:rPr>
          <w:rFonts w:ascii="Verdana" w:hAnsi="Verdana" w:cs="Arial"/>
          <w:b/>
        </w:rPr>
        <w:t xml:space="preserve">Freedom of Information Request </w:t>
      </w:r>
      <w:r w:rsidR="00D15A74" w:rsidRPr="00DE550C">
        <w:rPr>
          <w:rFonts w:ascii="Verdana" w:hAnsi="Verdana" w:cs="Arial"/>
          <w:b/>
        </w:rPr>
        <w:t xml:space="preserve">- </w:t>
      </w:r>
      <w:r w:rsidR="00622EC7" w:rsidRPr="00DE550C">
        <w:rPr>
          <w:rFonts w:ascii="Verdana" w:hAnsi="Verdana" w:cs="Arial"/>
          <w:b/>
        </w:rPr>
        <w:t xml:space="preserve">Section </w:t>
      </w:r>
      <w:proofErr w:type="gramStart"/>
      <w:r w:rsidR="00622EC7" w:rsidRPr="00DE550C">
        <w:rPr>
          <w:rFonts w:ascii="Verdana" w:hAnsi="Verdana" w:cs="Arial"/>
          <w:b/>
        </w:rPr>
        <w:t>24</w:t>
      </w:r>
      <w:r w:rsidR="00097501" w:rsidRPr="00DE550C">
        <w:rPr>
          <w:rFonts w:ascii="Verdana" w:hAnsi="Verdana" w:cs="Arial"/>
          <w:b/>
        </w:rPr>
        <w:t>AB(</w:t>
      </w:r>
      <w:proofErr w:type="gramEnd"/>
      <w:r w:rsidR="00097501" w:rsidRPr="00DE550C">
        <w:rPr>
          <w:rFonts w:ascii="Verdana" w:hAnsi="Verdana" w:cs="Arial"/>
          <w:b/>
        </w:rPr>
        <w:t>2)</w:t>
      </w:r>
      <w:r w:rsidR="00622EC7" w:rsidRPr="00DE550C">
        <w:rPr>
          <w:rFonts w:ascii="Verdana" w:hAnsi="Verdana" w:cs="Arial"/>
          <w:b/>
        </w:rPr>
        <w:t xml:space="preserve"> Notice</w:t>
      </w:r>
    </w:p>
    <w:p w:rsidR="00622EC7" w:rsidRPr="00DE550C" w:rsidRDefault="00622EC7" w:rsidP="00E948A8">
      <w:pPr>
        <w:rPr>
          <w:rFonts w:ascii="Verdana" w:hAnsi="Verdana" w:cs="Arial"/>
          <w:b/>
        </w:rPr>
      </w:pPr>
    </w:p>
    <w:p w:rsidR="00622EC7" w:rsidRPr="00DE550C" w:rsidRDefault="00FC5E7B" w:rsidP="00FC5E7B">
      <w:pPr>
        <w:rPr>
          <w:rFonts w:ascii="Verdana" w:hAnsi="Verdana" w:cs="Arial"/>
        </w:rPr>
      </w:pPr>
      <w:r w:rsidRPr="00DE550C">
        <w:rPr>
          <w:rFonts w:ascii="Verdana" w:hAnsi="Verdana" w:cs="Arial"/>
        </w:rPr>
        <w:t xml:space="preserve">I refer to your </w:t>
      </w:r>
      <w:r w:rsidR="00E8193A" w:rsidRPr="00DE550C">
        <w:rPr>
          <w:rFonts w:ascii="Verdana" w:hAnsi="Verdana" w:cs="Arial"/>
        </w:rPr>
        <w:t>email</w:t>
      </w:r>
      <w:r w:rsidRPr="00DE550C">
        <w:rPr>
          <w:rFonts w:ascii="Verdana" w:hAnsi="Verdana" w:cs="Arial"/>
        </w:rPr>
        <w:t xml:space="preserve"> dated </w:t>
      </w:r>
      <w:r w:rsidR="00DE550C">
        <w:rPr>
          <w:rFonts w:ascii="Verdana" w:hAnsi="Verdana" w:cs="Arial"/>
        </w:rPr>
        <w:t>14</w:t>
      </w:r>
      <w:r w:rsidR="00E8193A" w:rsidRPr="00DE550C">
        <w:rPr>
          <w:rFonts w:ascii="Verdana" w:hAnsi="Verdana" w:cs="Arial"/>
        </w:rPr>
        <w:t xml:space="preserve"> January 2016</w:t>
      </w:r>
      <w:r w:rsidR="00622EC7" w:rsidRPr="00DE550C">
        <w:rPr>
          <w:rFonts w:ascii="Verdana" w:hAnsi="Verdana" w:cs="Arial"/>
        </w:rPr>
        <w:t xml:space="preserve">, seeking information under the </w:t>
      </w:r>
      <w:r w:rsidR="00622EC7" w:rsidRPr="00DE550C">
        <w:rPr>
          <w:rFonts w:ascii="Verdana" w:hAnsi="Verdana" w:cs="Arial"/>
          <w:i/>
        </w:rPr>
        <w:t>Freedom of Information Act 1982</w:t>
      </w:r>
      <w:r w:rsidR="00622EC7" w:rsidRPr="00DE550C">
        <w:rPr>
          <w:rFonts w:ascii="Verdana" w:hAnsi="Verdana" w:cs="Arial"/>
        </w:rPr>
        <w:t xml:space="preserve"> (the Act).</w:t>
      </w:r>
    </w:p>
    <w:p w:rsidR="00622EC7" w:rsidRPr="00DE550C" w:rsidRDefault="00622EC7" w:rsidP="00E948A8">
      <w:pPr>
        <w:rPr>
          <w:rFonts w:ascii="Verdana" w:hAnsi="Verdana" w:cs="Arial"/>
        </w:rPr>
      </w:pPr>
    </w:p>
    <w:p w:rsidR="00540156" w:rsidRPr="00DE550C" w:rsidRDefault="00540156" w:rsidP="00E948A8">
      <w:pPr>
        <w:rPr>
          <w:rFonts w:ascii="Verdana" w:hAnsi="Verdana" w:cs="Arial"/>
        </w:rPr>
      </w:pPr>
      <w:r w:rsidRPr="00DE550C">
        <w:rPr>
          <w:rFonts w:ascii="Verdana" w:hAnsi="Verdana" w:cs="Arial"/>
        </w:rPr>
        <w:t>1.</w:t>
      </w:r>
      <w:r w:rsidRPr="00DE550C">
        <w:rPr>
          <w:rFonts w:ascii="Verdana" w:hAnsi="Verdana" w:cs="Arial"/>
        </w:rPr>
        <w:tab/>
      </w:r>
      <w:r w:rsidR="00622EC7" w:rsidRPr="00DE550C">
        <w:rPr>
          <w:rFonts w:ascii="Verdana" w:hAnsi="Verdana" w:cs="Arial"/>
        </w:rPr>
        <w:t>Notice is hereby given under section 24</w:t>
      </w:r>
      <w:r w:rsidR="00097501" w:rsidRPr="00DE550C">
        <w:rPr>
          <w:rFonts w:ascii="Verdana" w:hAnsi="Verdana" w:cs="Arial"/>
        </w:rPr>
        <w:t>AB(2)</w:t>
      </w:r>
      <w:r w:rsidR="00622EC7" w:rsidRPr="00DE550C">
        <w:rPr>
          <w:rFonts w:ascii="Verdana" w:hAnsi="Verdana" w:cs="Arial"/>
        </w:rPr>
        <w:t xml:space="preserve"> of the Act of an intention to refuse to grant access to the documents sought, pursuant to section 24</w:t>
      </w:r>
      <w:r w:rsidR="00097501" w:rsidRPr="00DE550C">
        <w:rPr>
          <w:rFonts w:ascii="Verdana" w:hAnsi="Verdana" w:cs="Arial"/>
        </w:rPr>
        <w:t>AA</w:t>
      </w:r>
      <w:r w:rsidR="00622EC7" w:rsidRPr="00DE550C">
        <w:rPr>
          <w:rFonts w:ascii="Verdana" w:hAnsi="Verdana" w:cs="Arial"/>
        </w:rPr>
        <w:t xml:space="preserve"> of that Act.  For the reasons outlined in</w:t>
      </w:r>
      <w:r w:rsidRPr="00DE550C">
        <w:rPr>
          <w:rFonts w:ascii="Verdana" w:hAnsi="Verdana" w:cs="Arial"/>
        </w:rPr>
        <w:t xml:space="preserve"> </w:t>
      </w:r>
      <w:r w:rsidRPr="00DE550C">
        <w:rPr>
          <w:rFonts w:ascii="Verdana" w:hAnsi="Verdana" w:cs="Arial"/>
          <w:shd w:val="clear" w:color="auto" w:fill="FFFFFF" w:themeFill="background1"/>
        </w:rPr>
        <w:t>paragraphs 6</w:t>
      </w:r>
      <w:r w:rsidR="007F6017" w:rsidRPr="00DE550C">
        <w:rPr>
          <w:rFonts w:ascii="Verdana" w:hAnsi="Verdana" w:cs="Arial"/>
          <w:shd w:val="clear" w:color="auto" w:fill="FFFFFF" w:themeFill="background1"/>
        </w:rPr>
        <w:t xml:space="preserve"> through 9</w:t>
      </w:r>
      <w:r w:rsidRPr="00DE550C">
        <w:rPr>
          <w:rFonts w:ascii="Verdana" w:hAnsi="Verdana" w:cs="Arial"/>
          <w:shd w:val="clear" w:color="auto" w:fill="FFFFFF" w:themeFill="background1"/>
        </w:rPr>
        <w:t xml:space="preserve"> below, the</w:t>
      </w:r>
      <w:r w:rsidRPr="00DE550C">
        <w:rPr>
          <w:rFonts w:ascii="Verdana" w:hAnsi="Verdana" w:cs="Arial"/>
        </w:rPr>
        <w:t xml:space="preserve"> Australian Federal Police (“the AFP”) is satisfied that the work involved in processing that request would substantially and unreasonably divert the resources of the AFP from its other operations.</w:t>
      </w:r>
    </w:p>
    <w:p w:rsidR="00540156" w:rsidRPr="00DE550C" w:rsidRDefault="00540156" w:rsidP="00E948A8">
      <w:pPr>
        <w:rPr>
          <w:rFonts w:ascii="Verdana" w:hAnsi="Verdana" w:cs="Arial"/>
        </w:rPr>
      </w:pPr>
    </w:p>
    <w:p w:rsidR="00540156" w:rsidRPr="00DE550C" w:rsidRDefault="00540156" w:rsidP="00E948A8">
      <w:pPr>
        <w:rPr>
          <w:rFonts w:ascii="Verdana" w:hAnsi="Verdana" w:cs="Arial"/>
        </w:rPr>
      </w:pPr>
      <w:r w:rsidRPr="00DE550C">
        <w:rPr>
          <w:rFonts w:ascii="Verdana" w:hAnsi="Verdana" w:cs="Arial"/>
        </w:rPr>
        <w:t>2.</w:t>
      </w:r>
      <w:r w:rsidRPr="00DE550C">
        <w:rPr>
          <w:rFonts w:ascii="Verdana" w:hAnsi="Verdana" w:cs="Arial"/>
        </w:rPr>
        <w:tab/>
        <w:t>I am the agency officer with whom you may consult with a view to making the request in such a form that would remove the ground</w:t>
      </w:r>
      <w:r w:rsidR="00E8193A" w:rsidRPr="00DE550C">
        <w:rPr>
          <w:rFonts w:ascii="Verdana" w:hAnsi="Verdana" w:cs="Arial"/>
        </w:rPr>
        <w:t>s</w:t>
      </w:r>
      <w:r w:rsidRPr="00DE550C">
        <w:rPr>
          <w:rFonts w:ascii="Verdana" w:hAnsi="Verdana" w:cs="Arial"/>
        </w:rPr>
        <w:t xml:space="preserve"> for refusal.  I may be contacted on (02) </w:t>
      </w:r>
      <w:r w:rsidR="004B75AB" w:rsidRPr="00DE550C">
        <w:rPr>
          <w:rFonts w:ascii="Verdana" w:hAnsi="Verdana" w:cs="Arial"/>
        </w:rPr>
        <w:t xml:space="preserve">6131 </w:t>
      </w:r>
      <w:r w:rsidR="00612DE1" w:rsidRPr="00DE550C">
        <w:rPr>
          <w:rFonts w:ascii="Verdana" w:hAnsi="Verdana" w:cs="Arial"/>
        </w:rPr>
        <w:t>6131</w:t>
      </w:r>
      <w:r w:rsidRPr="00DE550C">
        <w:rPr>
          <w:rFonts w:ascii="Verdana" w:hAnsi="Verdana" w:cs="Arial"/>
        </w:rPr>
        <w:t>.</w:t>
      </w:r>
    </w:p>
    <w:p w:rsidR="00540156" w:rsidRPr="00DE550C" w:rsidRDefault="00540156" w:rsidP="00E948A8">
      <w:pPr>
        <w:rPr>
          <w:rFonts w:ascii="Verdana" w:hAnsi="Verdana" w:cs="Arial"/>
        </w:rPr>
      </w:pPr>
    </w:p>
    <w:p w:rsidR="00CB5A42" w:rsidRPr="00DE550C" w:rsidRDefault="00540156" w:rsidP="00E948A8">
      <w:pPr>
        <w:rPr>
          <w:rFonts w:ascii="Verdana" w:hAnsi="Verdana" w:cs="Arial"/>
        </w:rPr>
      </w:pPr>
      <w:r w:rsidRPr="00DE550C">
        <w:rPr>
          <w:rFonts w:ascii="Verdana" w:hAnsi="Verdana" w:cs="Arial"/>
        </w:rPr>
        <w:t>3.</w:t>
      </w:r>
      <w:r w:rsidRPr="00DE550C">
        <w:rPr>
          <w:rFonts w:ascii="Verdana" w:hAnsi="Verdana" w:cs="Arial"/>
        </w:rPr>
        <w:tab/>
        <w:t>The following information is provided to assist you in making a request in such a form that the grounds for the section 24</w:t>
      </w:r>
      <w:r w:rsidR="00097501" w:rsidRPr="00DE550C">
        <w:rPr>
          <w:rFonts w:ascii="Verdana" w:hAnsi="Verdana" w:cs="Arial"/>
        </w:rPr>
        <w:t>AA</w:t>
      </w:r>
      <w:r w:rsidR="00D15A74" w:rsidRPr="00DE550C">
        <w:rPr>
          <w:rFonts w:ascii="Verdana" w:hAnsi="Verdana" w:cs="Arial"/>
        </w:rPr>
        <w:t xml:space="preserve"> refusal are</w:t>
      </w:r>
      <w:r w:rsidRPr="00DE550C">
        <w:rPr>
          <w:rFonts w:ascii="Verdana" w:hAnsi="Verdana" w:cs="Arial"/>
        </w:rPr>
        <w:t xml:space="preserve"> removed.</w:t>
      </w:r>
    </w:p>
    <w:p w:rsidR="00CB5A42" w:rsidRPr="00DE550C" w:rsidRDefault="00CB5A42" w:rsidP="00E948A8">
      <w:pPr>
        <w:rPr>
          <w:rFonts w:ascii="Verdana" w:hAnsi="Verdana" w:cs="Arial"/>
        </w:rPr>
      </w:pPr>
    </w:p>
    <w:p w:rsidR="00D71972" w:rsidRPr="00DE550C" w:rsidRDefault="00CB5A42" w:rsidP="00D71972">
      <w:pPr>
        <w:rPr>
          <w:rFonts w:ascii="Verdana" w:hAnsi="Verdana" w:cs="Arial"/>
        </w:rPr>
      </w:pPr>
      <w:r w:rsidRPr="00DE550C">
        <w:rPr>
          <w:rFonts w:ascii="Verdana" w:hAnsi="Verdana" w:cs="Arial"/>
        </w:rPr>
        <w:t>4.</w:t>
      </w:r>
      <w:r w:rsidRPr="00DE550C">
        <w:rPr>
          <w:rFonts w:ascii="Verdana" w:hAnsi="Verdana" w:cs="Arial"/>
        </w:rPr>
        <w:tab/>
        <w:t>Preliminary enquiries concerning your request for documents have been made which indicate that there is a large volume of documents which</w:t>
      </w:r>
      <w:r w:rsidR="0053100B" w:rsidRPr="00DE550C">
        <w:rPr>
          <w:rFonts w:ascii="Verdana" w:hAnsi="Verdana" w:cs="Arial"/>
        </w:rPr>
        <w:t xml:space="preserve"> </w:t>
      </w:r>
      <w:r w:rsidRPr="00DE550C">
        <w:rPr>
          <w:rFonts w:ascii="Verdana" w:hAnsi="Verdana" w:cs="Arial"/>
        </w:rPr>
        <w:t xml:space="preserve">fall within the scope of your request.  </w:t>
      </w:r>
    </w:p>
    <w:p w:rsidR="00886350" w:rsidRPr="00DE550C" w:rsidRDefault="00886350" w:rsidP="00E948A8">
      <w:pPr>
        <w:rPr>
          <w:rFonts w:ascii="Verdana" w:hAnsi="Verdana" w:cs="Arial"/>
        </w:rPr>
      </w:pPr>
    </w:p>
    <w:p w:rsidR="00CB5A42" w:rsidRPr="00DE550C" w:rsidRDefault="00CB5A42" w:rsidP="00E948A8">
      <w:pPr>
        <w:rPr>
          <w:rFonts w:ascii="Verdana" w:hAnsi="Verdana" w:cs="Arial"/>
        </w:rPr>
      </w:pPr>
      <w:r w:rsidRPr="00DE550C">
        <w:rPr>
          <w:rFonts w:ascii="Verdana" w:hAnsi="Verdana" w:cs="Arial"/>
        </w:rPr>
        <w:t>5.</w:t>
      </w:r>
      <w:r w:rsidRPr="00DE550C">
        <w:rPr>
          <w:rFonts w:ascii="Verdana" w:hAnsi="Verdana" w:cs="Arial"/>
        </w:rPr>
        <w:tab/>
        <w:t xml:space="preserve">The AFP maintains that to process </w:t>
      </w:r>
      <w:r w:rsidR="00795092" w:rsidRPr="00DE550C">
        <w:rPr>
          <w:rFonts w:ascii="Verdana" w:hAnsi="Verdana" w:cs="Arial"/>
        </w:rPr>
        <w:t>your</w:t>
      </w:r>
      <w:r w:rsidRPr="00DE550C">
        <w:rPr>
          <w:rFonts w:ascii="Verdana" w:hAnsi="Verdana" w:cs="Arial"/>
        </w:rPr>
        <w:t xml:space="preserve"> request in its current form would substantially and unreasonably divert the resources of the AFP from its other operations.  Following is a forecast of the probable resource demands posed by your FOI Act request.</w:t>
      </w:r>
      <w:r w:rsidR="00A65F7B" w:rsidRPr="00DE550C">
        <w:rPr>
          <w:rFonts w:ascii="Verdana" w:hAnsi="Verdana" w:cs="Arial"/>
        </w:rPr>
        <w:t xml:space="preserve">  The following estimate is the minimum, and it is highly likely that the actual work involved would far exceed the estimates provided.  </w:t>
      </w:r>
    </w:p>
    <w:p w:rsidR="00CB5A42" w:rsidRPr="00DE550C" w:rsidRDefault="00CB5A42" w:rsidP="00E948A8">
      <w:pPr>
        <w:rPr>
          <w:rFonts w:ascii="Verdana" w:hAnsi="Verdana" w:cs="Arial"/>
        </w:rPr>
      </w:pPr>
    </w:p>
    <w:p w:rsidR="00CB5A42" w:rsidRPr="00DE550C" w:rsidRDefault="00A92340" w:rsidP="00E948A8">
      <w:pPr>
        <w:rPr>
          <w:rFonts w:ascii="Verdana" w:hAnsi="Verdana" w:cs="Arial"/>
        </w:rPr>
      </w:pPr>
      <w:r w:rsidRPr="00DE550C">
        <w:rPr>
          <w:rFonts w:ascii="Verdana" w:hAnsi="Verdana" w:cs="Arial"/>
        </w:rPr>
        <w:t>6</w:t>
      </w:r>
      <w:r w:rsidR="00CB5A42" w:rsidRPr="00DE550C">
        <w:rPr>
          <w:rFonts w:ascii="Verdana" w:hAnsi="Verdana" w:cs="Arial"/>
        </w:rPr>
        <w:t>.</w:t>
      </w:r>
      <w:r w:rsidR="00CB5A42" w:rsidRPr="00DE550C">
        <w:rPr>
          <w:rFonts w:ascii="Verdana" w:hAnsi="Verdana" w:cs="Arial"/>
        </w:rPr>
        <w:tab/>
        <w:t>The</w:t>
      </w:r>
      <w:r w:rsidR="00A65F7B" w:rsidRPr="00DE550C">
        <w:rPr>
          <w:rFonts w:ascii="Verdana" w:hAnsi="Verdana" w:cs="Arial"/>
        </w:rPr>
        <w:t xml:space="preserve">re is a minimum of </w:t>
      </w:r>
      <w:r w:rsidR="00DE550C">
        <w:rPr>
          <w:rFonts w:ascii="Verdana" w:hAnsi="Verdana" w:cs="Arial"/>
        </w:rPr>
        <w:t>125</w:t>
      </w:r>
      <w:r w:rsidR="00287788" w:rsidRPr="00DE550C">
        <w:rPr>
          <w:rFonts w:ascii="Verdana" w:hAnsi="Verdana" w:cs="Arial"/>
        </w:rPr>
        <w:t xml:space="preserve"> </w:t>
      </w:r>
      <w:r w:rsidR="00CB5A42" w:rsidRPr="00DE550C">
        <w:rPr>
          <w:rFonts w:ascii="Verdana" w:hAnsi="Verdana" w:cs="Arial"/>
        </w:rPr>
        <w:t xml:space="preserve">hours of </w:t>
      </w:r>
      <w:r w:rsidR="00966ADD" w:rsidRPr="00DE550C">
        <w:rPr>
          <w:rFonts w:ascii="Verdana" w:hAnsi="Verdana" w:cs="Arial"/>
        </w:rPr>
        <w:t xml:space="preserve">Freedom of Information </w:t>
      </w:r>
      <w:r w:rsidR="00CB5A42" w:rsidRPr="00DE550C">
        <w:rPr>
          <w:rFonts w:ascii="Verdana" w:hAnsi="Verdana" w:cs="Arial"/>
        </w:rPr>
        <w:t xml:space="preserve">staff time that would be required for tasks including </w:t>
      </w:r>
      <w:r w:rsidRPr="00DE550C">
        <w:rPr>
          <w:rFonts w:ascii="Verdana" w:hAnsi="Verdana" w:cs="Arial"/>
        </w:rPr>
        <w:t xml:space="preserve">identifying the documents, </w:t>
      </w:r>
      <w:r w:rsidR="00CB5A42" w:rsidRPr="00DE550C">
        <w:rPr>
          <w:rFonts w:ascii="Verdana" w:hAnsi="Verdana" w:cs="Arial"/>
        </w:rPr>
        <w:t>examination of documents</w:t>
      </w:r>
      <w:r w:rsidR="003F343A" w:rsidRPr="00DE550C">
        <w:rPr>
          <w:rFonts w:ascii="Verdana" w:hAnsi="Verdana" w:cs="Arial"/>
        </w:rPr>
        <w:t xml:space="preserve"> for relevance</w:t>
      </w:r>
      <w:r w:rsidR="00CB5A42" w:rsidRPr="00DE550C">
        <w:rPr>
          <w:rFonts w:ascii="Verdana" w:hAnsi="Verdana" w:cs="Arial"/>
        </w:rPr>
        <w:t xml:space="preserve">, copying of documents and notification of </w:t>
      </w:r>
      <w:r w:rsidR="00EA70B0" w:rsidRPr="00DE550C">
        <w:rPr>
          <w:rFonts w:ascii="Verdana" w:hAnsi="Verdana" w:cs="Arial"/>
        </w:rPr>
        <w:t xml:space="preserve">a </w:t>
      </w:r>
      <w:r w:rsidR="00CB5A42" w:rsidRPr="00DE550C">
        <w:rPr>
          <w:rFonts w:ascii="Verdana" w:hAnsi="Verdana" w:cs="Arial"/>
        </w:rPr>
        <w:t>decision</w:t>
      </w:r>
      <w:r w:rsidR="00BB267C" w:rsidRPr="00DE550C">
        <w:rPr>
          <w:rFonts w:ascii="Verdana" w:hAnsi="Verdana" w:cs="Arial"/>
        </w:rPr>
        <w:t xml:space="preserve"> in relation to </w:t>
      </w:r>
      <w:r w:rsidR="00311053" w:rsidRPr="00DE550C">
        <w:rPr>
          <w:rFonts w:ascii="Verdana" w:hAnsi="Verdana" w:cs="Arial"/>
        </w:rPr>
        <w:t>your request</w:t>
      </w:r>
      <w:r w:rsidR="00BB267C" w:rsidRPr="00DE550C">
        <w:rPr>
          <w:rFonts w:ascii="Verdana" w:hAnsi="Verdana" w:cs="Arial"/>
        </w:rPr>
        <w:t xml:space="preserve">.  </w:t>
      </w:r>
      <w:r w:rsidR="00311053" w:rsidRPr="00DE550C">
        <w:rPr>
          <w:rFonts w:ascii="Verdana" w:hAnsi="Verdana" w:cs="Arial"/>
        </w:rPr>
        <w:t>T</w:t>
      </w:r>
      <w:r w:rsidR="00CB5A42" w:rsidRPr="00DE550C">
        <w:rPr>
          <w:rFonts w:ascii="Verdana" w:hAnsi="Verdana" w:cs="Arial"/>
        </w:rPr>
        <w:t xml:space="preserve">his </w:t>
      </w:r>
      <w:r w:rsidR="00992622" w:rsidRPr="00DE550C">
        <w:rPr>
          <w:rFonts w:ascii="Verdana" w:hAnsi="Verdana" w:cs="Arial"/>
        </w:rPr>
        <w:t xml:space="preserve">is a </w:t>
      </w:r>
      <w:r w:rsidR="00CB5A42" w:rsidRPr="00DE550C">
        <w:rPr>
          <w:rFonts w:ascii="Verdana" w:hAnsi="Verdana" w:cs="Arial"/>
        </w:rPr>
        <w:t xml:space="preserve">burden in terms of resources </w:t>
      </w:r>
      <w:r w:rsidR="00992622" w:rsidRPr="00DE550C">
        <w:rPr>
          <w:rFonts w:ascii="Verdana" w:hAnsi="Verdana" w:cs="Arial"/>
        </w:rPr>
        <w:t xml:space="preserve">and </w:t>
      </w:r>
      <w:r w:rsidR="00CB5A42" w:rsidRPr="00DE550C">
        <w:rPr>
          <w:rFonts w:ascii="Verdana" w:hAnsi="Verdana" w:cs="Arial"/>
        </w:rPr>
        <w:t xml:space="preserve">is made relevant to a section </w:t>
      </w:r>
      <w:proofErr w:type="gramStart"/>
      <w:r w:rsidR="00CB5A42" w:rsidRPr="00DE550C">
        <w:rPr>
          <w:rFonts w:ascii="Verdana" w:hAnsi="Verdana" w:cs="Arial"/>
        </w:rPr>
        <w:t>24</w:t>
      </w:r>
      <w:r w:rsidR="00097501" w:rsidRPr="00DE550C">
        <w:rPr>
          <w:rFonts w:ascii="Verdana" w:hAnsi="Verdana" w:cs="Arial"/>
        </w:rPr>
        <w:t>AA</w:t>
      </w:r>
      <w:r w:rsidR="00CB5A42" w:rsidRPr="00DE550C">
        <w:rPr>
          <w:rFonts w:ascii="Verdana" w:hAnsi="Verdana" w:cs="Arial"/>
        </w:rPr>
        <w:t>(</w:t>
      </w:r>
      <w:proofErr w:type="gramEnd"/>
      <w:r w:rsidR="00CB5A42" w:rsidRPr="00DE550C">
        <w:rPr>
          <w:rFonts w:ascii="Verdana" w:hAnsi="Verdana" w:cs="Arial"/>
        </w:rPr>
        <w:t xml:space="preserve">1) decision by </w:t>
      </w:r>
      <w:r w:rsidR="00992622" w:rsidRPr="00DE550C">
        <w:rPr>
          <w:rFonts w:ascii="Verdana" w:hAnsi="Verdana" w:cs="Arial"/>
        </w:rPr>
        <w:t xml:space="preserve">virtue of </w:t>
      </w:r>
      <w:r w:rsidR="00CB5A42" w:rsidRPr="00DE550C">
        <w:rPr>
          <w:rFonts w:ascii="Verdana" w:hAnsi="Verdana" w:cs="Arial"/>
        </w:rPr>
        <w:t>sections 24</w:t>
      </w:r>
      <w:r w:rsidR="00097501" w:rsidRPr="00DE550C">
        <w:rPr>
          <w:rFonts w:ascii="Verdana" w:hAnsi="Verdana" w:cs="Arial"/>
        </w:rPr>
        <w:t>AA</w:t>
      </w:r>
      <w:r w:rsidR="00CB5A42" w:rsidRPr="00DE550C">
        <w:rPr>
          <w:rFonts w:ascii="Verdana" w:hAnsi="Verdana" w:cs="Arial"/>
        </w:rPr>
        <w:t>(2)</w:t>
      </w:r>
      <w:r w:rsidR="00097501" w:rsidRPr="00DE550C">
        <w:rPr>
          <w:rFonts w:ascii="Verdana" w:hAnsi="Verdana" w:cs="Arial"/>
        </w:rPr>
        <w:t xml:space="preserve">(a), </w:t>
      </w:r>
      <w:r w:rsidR="00CB5A42" w:rsidRPr="00DE550C">
        <w:rPr>
          <w:rFonts w:ascii="Verdana" w:hAnsi="Verdana" w:cs="Arial"/>
        </w:rPr>
        <w:t>(b), (c) and (d).</w:t>
      </w:r>
    </w:p>
    <w:p w:rsidR="007F6017" w:rsidRPr="00DE550C" w:rsidRDefault="007F6017" w:rsidP="00E948A8">
      <w:pPr>
        <w:rPr>
          <w:rFonts w:ascii="Verdana" w:hAnsi="Verdana" w:cs="Arial"/>
        </w:rPr>
      </w:pPr>
    </w:p>
    <w:p w:rsidR="008C2067" w:rsidRPr="00DE550C" w:rsidRDefault="007F6017" w:rsidP="00E948A8">
      <w:pPr>
        <w:rPr>
          <w:rFonts w:ascii="Verdana" w:hAnsi="Verdana" w:cs="Arial"/>
        </w:rPr>
      </w:pPr>
      <w:r w:rsidRPr="00DE550C">
        <w:rPr>
          <w:rFonts w:ascii="Verdana" w:hAnsi="Verdana" w:cs="Arial"/>
        </w:rPr>
        <w:lastRenderedPageBreak/>
        <w:t>8</w:t>
      </w:r>
      <w:r w:rsidR="00CB5A42" w:rsidRPr="00DE550C">
        <w:rPr>
          <w:rFonts w:ascii="Verdana" w:hAnsi="Verdana" w:cs="Arial"/>
        </w:rPr>
        <w:t>.</w:t>
      </w:r>
      <w:r w:rsidR="00CB5A42" w:rsidRPr="00DE550C">
        <w:rPr>
          <w:rFonts w:ascii="Verdana" w:hAnsi="Verdana" w:cs="Arial"/>
        </w:rPr>
        <w:tab/>
      </w:r>
      <w:proofErr w:type="gramStart"/>
      <w:r w:rsidR="00992622" w:rsidRPr="00DE550C">
        <w:rPr>
          <w:rFonts w:ascii="Verdana" w:hAnsi="Verdana" w:cs="Arial"/>
        </w:rPr>
        <w:t>Given</w:t>
      </w:r>
      <w:proofErr w:type="gramEnd"/>
      <w:r w:rsidR="00992622" w:rsidRPr="00DE550C">
        <w:rPr>
          <w:rFonts w:ascii="Verdana" w:hAnsi="Verdana" w:cs="Arial"/>
        </w:rPr>
        <w:t xml:space="preserve"> your request </w:t>
      </w:r>
      <w:r w:rsidR="00886350" w:rsidRPr="00DE550C">
        <w:rPr>
          <w:rFonts w:ascii="Verdana" w:hAnsi="Verdana" w:cs="Arial"/>
        </w:rPr>
        <w:t xml:space="preserve">involves </w:t>
      </w:r>
      <w:r w:rsidR="00311053" w:rsidRPr="00DE550C">
        <w:rPr>
          <w:rFonts w:ascii="Verdana" w:hAnsi="Verdana" w:cs="Arial"/>
        </w:rPr>
        <w:t xml:space="preserve">over </w:t>
      </w:r>
      <w:r w:rsidR="00DE550C">
        <w:rPr>
          <w:rFonts w:ascii="Verdana" w:hAnsi="Verdana" w:cs="Arial"/>
        </w:rPr>
        <w:t>380 emails</w:t>
      </w:r>
      <w:r w:rsidR="00DE550C" w:rsidRPr="00DE550C">
        <w:rPr>
          <w:rFonts w:ascii="Verdana" w:hAnsi="Verdana" w:cs="Arial"/>
        </w:rPr>
        <w:t>;</w:t>
      </w:r>
      <w:r w:rsidR="00A65F7B" w:rsidRPr="00DE550C">
        <w:rPr>
          <w:rFonts w:ascii="Verdana" w:hAnsi="Verdana" w:cs="Arial"/>
        </w:rPr>
        <w:t xml:space="preserve"> we advise this could transmit to a minimum estimate of </w:t>
      </w:r>
      <w:r w:rsidR="00DE550C">
        <w:rPr>
          <w:rFonts w:ascii="Verdana" w:hAnsi="Verdana" w:cs="Arial"/>
        </w:rPr>
        <w:t>760</w:t>
      </w:r>
      <w:r w:rsidR="00A65F7B" w:rsidRPr="00DE550C">
        <w:rPr>
          <w:rFonts w:ascii="Verdana" w:hAnsi="Verdana" w:cs="Arial"/>
        </w:rPr>
        <w:t xml:space="preserve"> pages. </w:t>
      </w:r>
      <w:r w:rsidR="002D38E5" w:rsidRPr="00DE550C">
        <w:rPr>
          <w:rFonts w:ascii="Verdana" w:hAnsi="Verdana" w:cs="Arial"/>
        </w:rPr>
        <w:t xml:space="preserve"> Again, this </w:t>
      </w:r>
      <w:r w:rsidR="00DE550C">
        <w:rPr>
          <w:rFonts w:ascii="Verdana" w:hAnsi="Verdana" w:cs="Arial"/>
        </w:rPr>
        <w:t xml:space="preserve">is only an </w:t>
      </w:r>
      <w:r w:rsidR="002D38E5" w:rsidRPr="00DE550C">
        <w:rPr>
          <w:rFonts w:ascii="Verdana" w:hAnsi="Verdana" w:cs="Arial"/>
        </w:rPr>
        <w:t>initial estimate</w:t>
      </w:r>
      <w:r w:rsidR="008650BD">
        <w:rPr>
          <w:rFonts w:ascii="Verdana" w:hAnsi="Verdana" w:cs="Arial"/>
        </w:rPr>
        <w:t xml:space="preserve"> and does not include </w:t>
      </w:r>
      <w:r w:rsidR="00A65F7B" w:rsidRPr="00DE550C">
        <w:rPr>
          <w:rFonts w:ascii="Verdana" w:hAnsi="Verdana" w:cs="Arial"/>
        </w:rPr>
        <w:t xml:space="preserve">a precise </w:t>
      </w:r>
      <w:r w:rsidR="003F343A" w:rsidRPr="00DE550C">
        <w:rPr>
          <w:rFonts w:ascii="Verdana" w:hAnsi="Verdana" w:cs="Arial"/>
        </w:rPr>
        <w:t xml:space="preserve">number of documents and pages that may be attached to </w:t>
      </w:r>
      <w:r w:rsidR="008650BD">
        <w:rPr>
          <w:rFonts w:ascii="Verdana" w:hAnsi="Verdana" w:cs="Arial"/>
        </w:rPr>
        <w:t>each email</w:t>
      </w:r>
      <w:r w:rsidR="003B370E" w:rsidRPr="00DE550C">
        <w:rPr>
          <w:rFonts w:ascii="Verdana" w:hAnsi="Verdana" w:cs="Arial"/>
        </w:rPr>
        <w:t xml:space="preserve">.  </w:t>
      </w:r>
      <w:r w:rsidR="00992622" w:rsidRPr="00DE550C">
        <w:rPr>
          <w:rFonts w:ascii="Verdana" w:hAnsi="Verdana" w:cs="Arial"/>
        </w:rPr>
        <w:t>To process your request</w:t>
      </w:r>
      <w:r w:rsidR="00E26315" w:rsidRPr="00DE550C">
        <w:rPr>
          <w:rFonts w:ascii="Verdana" w:hAnsi="Verdana" w:cs="Arial"/>
        </w:rPr>
        <w:t xml:space="preserve"> in its current form would </w:t>
      </w:r>
      <w:r w:rsidR="00992622" w:rsidRPr="00DE550C">
        <w:rPr>
          <w:rFonts w:ascii="Verdana" w:hAnsi="Verdana" w:cs="Arial"/>
        </w:rPr>
        <w:t xml:space="preserve">be a </w:t>
      </w:r>
      <w:r w:rsidR="004B75AB" w:rsidRPr="00DE550C">
        <w:rPr>
          <w:rFonts w:ascii="Verdana" w:hAnsi="Verdana" w:cs="Arial"/>
        </w:rPr>
        <w:t xml:space="preserve">substantial burden on the Freedom of Information Team </w:t>
      </w:r>
      <w:r w:rsidR="00992622" w:rsidRPr="00DE550C">
        <w:rPr>
          <w:rFonts w:ascii="Verdana" w:hAnsi="Verdana" w:cs="Arial"/>
        </w:rPr>
        <w:t xml:space="preserve">which </w:t>
      </w:r>
      <w:r w:rsidR="004B75AB" w:rsidRPr="00DE550C">
        <w:rPr>
          <w:rFonts w:ascii="Verdana" w:hAnsi="Verdana" w:cs="Arial"/>
        </w:rPr>
        <w:t xml:space="preserve">will impact severely on other requests for information to the detriment of a number of other applicants.  </w:t>
      </w:r>
    </w:p>
    <w:p w:rsidR="007F6017" w:rsidRPr="00DE550C" w:rsidRDefault="007F6017" w:rsidP="00E948A8">
      <w:pPr>
        <w:rPr>
          <w:rFonts w:ascii="Verdana" w:hAnsi="Verdana" w:cs="Arial"/>
        </w:rPr>
      </w:pPr>
    </w:p>
    <w:p w:rsidR="00214D58" w:rsidRDefault="007F6017" w:rsidP="00214D58">
      <w:pPr>
        <w:rPr>
          <w:rFonts w:ascii="Verdana" w:hAnsi="Verdana"/>
          <w:snapToGrid w:val="0"/>
          <w:lang w:eastAsia="en-US"/>
        </w:rPr>
      </w:pPr>
      <w:r w:rsidRPr="00DE550C">
        <w:rPr>
          <w:rFonts w:ascii="Verdana" w:hAnsi="Verdana" w:cs="Arial"/>
        </w:rPr>
        <w:t>9</w:t>
      </w:r>
      <w:r w:rsidR="008C2067" w:rsidRPr="00DE550C">
        <w:rPr>
          <w:rFonts w:ascii="Verdana" w:hAnsi="Verdana" w:cs="Arial"/>
        </w:rPr>
        <w:t>.</w:t>
      </w:r>
      <w:r w:rsidR="008C2067" w:rsidRPr="00DE550C">
        <w:rPr>
          <w:rFonts w:ascii="Verdana" w:hAnsi="Verdana" w:cs="Arial"/>
        </w:rPr>
        <w:tab/>
        <w:t xml:space="preserve">You could consider narrowing your request within a reasonable form </w:t>
      </w:r>
      <w:r w:rsidR="00D6143D" w:rsidRPr="00DE550C">
        <w:rPr>
          <w:rFonts w:ascii="Verdana" w:hAnsi="Verdana" w:cs="Arial"/>
        </w:rPr>
        <w:t xml:space="preserve">which would </w:t>
      </w:r>
      <w:r w:rsidR="008C2067" w:rsidRPr="00DE550C">
        <w:rPr>
          <w:rFonts w:ascii="Verdana" w:hAnsi="Verdana" w:cs="Arial"/>
        </w:rPr>
        <w:t>remove the ground for the section 24</w:t>
      </w:r>
      <w:r w:rsidR="00097501" w:rsidRPr="00DE550C">
        <w:rPr>
          <w:rFonts w:ascii="Verdana" w:hAnsi="Verdana" w:cs="Arial"/>
        </w:rPr>
        <w:t>AB</w:t>
      </w:r>
      <w:r w:rsidR="008C2067" w:rsidRPr="00DE550C">
        <w:rPr>
          <w:rFonts w:ascii="Verdana" w:hAnsi="Verdana" w:cs="Arial"/>
        </w:rPr>
        <w:t xml:space="preserve"> refusal.</w:t>
      </w:r>
      <w:r w:rsidR="00214D58" w:rsidRPr="00DE550C">
        <w:rPr>
          <w:rFonts w:ascii="Verdana" w:hAnsi="Verdana" w:cs="Arial"/>
        </w:rPr>
        <w:t xml:space="preserve">  </w:t>
      </w:r>
      <w:r w:rsidR="003F343A" w:rsidRPr="00DE550C">
        <w:rPr>
          <w:rFonts w:ascii="Verdana" w:hAnsi="Verdana" w:cs="Arial"/>
        </w:rPr>
        <w:t>R</w:t>
      </w:r>
      <w:r w:rsidR="003F343A" w:rsidRPr="00DE550C">
        <w:rPr>
          <w:rFonts w:ascii="Verdana" w:hAnsi="Verdana"/>
          <w:snapToGrid w:val="0"/>
          <w:lang w:eastAsia="en-US"/>
        </w:rPr>
        <w:t xml:space="preserve">ather than stating </w:t>
      </w:r>
      <w:r w:rsidR="003F343A" w:rsidRPr="00DE550C">
        <w:rPr>
          <w:rFonts w:ascii="Verdana" w:hAnsi="Verdana"/>
          <w:i/>
          <w:snapToGrid w:val="0"/>
          <w:lang w:eastAsia="en-US"/>
        </w:rPr>
        <w:t>‘</w:t>
      </w:r>
      <w:r w:rsidR="008650BD">
        <w:rPr>
          <w:rFonts w:ascii="Verdana" w:hAnsi="Verdana"/>
          <w:i/>
          <w:snapToGrid w:val="0"/>
          <w:lang w:eastAsia="en-US"/>
        </w:rPr>
        <w:t>all emails sent and any replies to those emails</w:t>
      </w:r>
      <w:r w:rsidR="003F343A" w:rsidRPr="00DE550C">
        <w:rPr>
          <w:rFonts w:ascii="Verdana" w:hAnsi="Verdana"/>
          <w:snapToGrid w:val="0"/>
          <w:lang w:eastAsia="en-US"/>
        </w:rPr>
        <w:t>; y</w:t>
      </w:r>
      <w:r w:rsidR="00214D58" w:rsidRPr="00DE550C">
        <w:rPr>
          <w:rFonts w:ascii="Verdana" w:hAnsi="Verdana"/>
          <w:snapToGrid w:val="0"/>
          <w:lang w:eastAsia="en-US"/>
        </w:rPr>
        <w:t>ou could consider revising the scope of your request</w:t>
      </w:r>
      <w:r w:rsidR="008650BD">
        <w:rPr>
          <w:rFonts w:ascii="Verdana" w:hAnsi="Verdana"/>
          <w:snapToGrid w:val="0"/>
          <w:lang w:eastAsia="en-US"/>
        </w:rPr>
        <w:t xml:space="preserve">, for </w:t>
      </w:r>
      <w:r w:rsidR="0053100B" w:rsidRPr="00DE550C">
        <w:rPr>
          <w:rFonts w:ascii="Verdana" w:hAnsi="Verdana"/>
          <w:snapToGrid w:val="0"/>
          <w:lang w:eastAsia="en-US"/>
        </w:rPr>
        <w:t>example</w:t>
      </w:r>
      <w:r w:rsidR="002D38E5" w:rsidRPr="00DE550C">
        <w:rPr>
          <w:rFonts w:ascii="Verdana" w:hAnsi="Verdana"/>
          <w:snapToGrid w:val="0"/>
          <w:lang w:eastAsia="en-US"/>
        </w:rPr>
        <w:t xml:space="preserve">: </w:t>
      </w:r>
      <w:r w:rsidR="008650BD">
        <w:rPr>
          <w:rFonts w:ascii="Verdana" w:hAnsi="Verdana"/>
          <w:snapToGrid w:val="0"/>
          <w:lang w:eastAsia="en-US"/>
        </w:rPr>
        <w:t>narrowing the time and period and only seeking emails sent to the address.</w:t>
      </w:r>
      <w:r w:rsidR="00214D58" w:rsidRPr="00DE550C">
        <w:rPr>
          <w:rFonts w:ascii="Verdana" w:hAnsi="Verdana"/>
          <w:snapToGrid w:val="0"/>
          <w:lang w:eastAsia="en-US"/>
        </w:rPr>
        <w:t xml:space="preserve">  </w:t>
      </w:r>
    </w:p>
    <w:p w:rsidR="008650BD" w:rsidRDefault="008650BD" w:rsidP="00214D58">
      <w:pPr>
        <w:rPr>
          <w:rFonts w:ascii="Verdana" w:hAnsi="Verdana"/>
          <w:snapToGrid w:val="0"/>
          <w:lang w:eastAsia="en-US"/>
        </w:rPr>
      </w:pPr>
    </w:p>
    <w:p w:rsidR="008C2067" w:rsidRPr="00DE550C" w:rsidRDefault="008650BD" w:rsidP="00E948A8">
      <w:pPr>
        <w:rPr>
          <w:rFonts w:ascii="Verdana" w:hAnsi="Verdana" w:cs="Arial"/>
        </w:rPr>
      </w:pPr>
      <w:r>
        <w:rPr>
          <w:rFonts w:ascii="Verdana" w:hAnsi="Verdana"/>
          <w:snapToGrid w:val="0"/>
          <w:lang w:eastAsia="en-US"/>
        </w:rPr>
        <w:t>10</w:t>
      </w:r>
      <w:r w:rsidR="008C2067" w:rsidRPr="00DE550C">
        <w:rPr>
          <w:rFonts w:ascii="Verdana" w:hAnsi="Verdana" w:cs="Arial"/>
        </w:rPr>
        <w:t>.</w:t>
      </w:r>
      <w:r w:rsidR="008C2067" w:rsidRPr="00DE550C">
        <w:rPr>
          <w:rFonts w:ascii="Verdana" w:hAnsi="Verdana" w:cs="Arial"/>
        </w:rPr>
        <w:tab/>
        <w:t xml:space="preserve">As noted above, I would of course be available to discuss the matter.  Should you not avail yourself of this opportunity to consult </w:t>
      </w:r>
      <w:r w:rsidR="008851A5" w:rsidRPr="00DE550C">
        <w:rPr>
          <w:rFonts w:ascii="Verdana" w:hAnsi="Verdana" w:cs="Arial"/>
        </w:rPr>
        <w:t xml:space="preserve">within </w:t>
      </w:r>
      <w:r w:rsidR="00A965C1" w:rsidRPr="00DE550C">
        <w:rPr>
          <w:rFonts w:ascii="Verdana" w:hAnsi="Verdana" w:cs="Arial"/>
        </w:rPr>
        <w:t xml:space="preserve">14 </w:t>
      </w:r>
      <w:r w:rsidR="008851A5" w:rsidRPr="00DE550C">
        <w:rPr>
          <w:rFonts w:ascii="Verdana" w:hAnsi="Verdana" w:cs="Arial"/>
        </w:rPr>
        <w:t>days of the date of this letter</w:t>
      </w:r>
      <w:r w:rsidR="008C2067" w:rsidRPr="00DE550C">
        <w:rPr>
          <w:rFonts w:ascii="Verdana" w:hAnsi="Verdana" w:cs="Arial"/>
        </w:rPr>
        <w:t>, notice will be given of a decision to refuse access on the basis</w:t>
      </w:r>
      <w:r w:rsidR="00EA4421" w:rsidRPr="00DE550C">
        <w:rPr>
          <w:rFonts w:ascii="Verdana" w:hAnsi="Verdana" w:cs="Arial"/>
        </w:rPr>
        <w:t xml:space="preserve"> stated above.</w:t>
      </w:r>
    </w:p>
    <w:p w:rsidR="00EA4421" w:rsidRPr="00DE550C" w:rsidRDefault="00EA4421" w:rsidP="00E948A8">
      <w:pPr>
        <w:rPr>
          <w:rFonts w:ascii="Verdana" w:hAnsi="Verdana" w:cs="Arial"/>
        </w:rPr>
      </w:pPr>
    </w:p>
    <w:p w:rsidR="00EA4421" w:rsidRDefault="00A92340" w:rsidP="00E948A8">
      <w:pPr>
        <w:rPr>
          <w:rFonts w:ascii="Verdana" w:hAnsi="Verdana" w:cs="Arial"/>
        </w:rPr>
      </w:pPr>
      <w:r w:rsidRPr="00DE550C">
        <w:rPr>
          <w:rFonts w:ascii="Verdana" w:hAnsi="Verdana" w:cs="Arial"/>
        </w:rPr>
        <w:t>1</w:t>
      </w:r>
      <w:r w:rsidR="008650BD">
        <w:rPr>
          <w:rFonts w:ascii="Verdana" w:hAnsi="Verdana" w:cs="Arial"/>
        </w:rPr>
        <w:t>1</w:t>
      </w:r>
      <w:r w:rsidR="00EA4421" w:rsidRPr="00DE550C">
        <w:rPr>
          <w:rFonts w:ascii="Verdana" w:hAnsi="Verdana" w:cs="Arial"/>
        </w:rPr>
        <w:t>.</w:t>
      </w:r>
      <w:r w:rsidR="00EA4421" w:rsidRPr="00DE550C">
        <w:rPr>
          <w:rFonts w:ascii="Verdana" w:hAnsi="Verdana" w:cs="Arial"/>
        </w:rPr>
        <w:tab/>
        <w:t>An extract of section</w:t>
      </w:r>
      <w:r w:rsidR="00097501" w:rsidRPr="00DE550C">
        <w:rPr>
          <w:rFonts w:ascii="Verdana" w:hAnsi="Verdana" w:cs="Arial"/>
        </w:rPr>
        <w:t>s</w:t>
      </w:r>
      <w:r w:rsidR="00EA4421" w:rsidRPr="00DE550C">
        <w:rPr>
          <w:rFonts w:ascii="Verdana" w:hAnsi="Verdana" w:cs="Arial"/>
        </w:rPr>
        <w:t xml:space="preserve"> 24</w:t>
      </w:r>
      <w:r w:rsidR="00097501" w:rsidRPr="00DE550C">
        <w:rPr>
          <w:rFonts w:ascii="Verdana" w:hAnsi="Verdana" w:cs="Arial"/>
        </w:rPr>
        <w:t>AA and AB</w:t>
      </w:r>
      <w:r w:rsidR="00EA4421" w:rsidRPr="00DE550C">
        <w:rPr>
          <w:rFonts w:ascii="Verdana" w:hAnsi="Verdana" w:cs="Arial"/>
        </w:rPr>
        <w:t xml:space="preserve"> of the Act is attached for your information.</w:t>
      </w:r>
    </w:p>
    <w:p w:rsidR="008650BD" w:rsidRDefault="008650BD" w:rsidP="00E948A8">
      <w:pPr>
        <w:rPr>
          <w:rFonts w:ascii="Verdana" w:hAnsi="Verdana" w:cs="Arial"/>
        </w:rPr>
      </w:pPr>
    </w:p>
    <w:p w:rsidR="0034329D" w:rsidRPr="00DE550C" w:rsidRDefault="0034329D" w:rsidP="00E948A8">
      <w:pPr>
        <w:rPr>
          <w:rFonts w:ascii="Verdana" w:hAnsi="Verdana" w:cs="Arial"/>
        </w:rPr>
      </w:pPr>
    </w:p>
    <w:p w:rsidR="00EA4421" w:rsidRPr="00DE550C" w:rsidRDefault="00EA4421" w:rsidP="00E948A8">
      <w:pPr>
        <w:rPr>
          <w:rFonts w:ascii="Verdana" w:hAnsi="Verdana" w:cs="Arial"/>
        </w:rPr>
      </w:pPr>
      <w:r w:rsidRPr="00DE550C">
        <w:rPr>
          <w:rFonts w:ascii="Verdana" w:hAnsi="Verdana" w:cs="Arial"/>
        </w:rPr>
        <w:t>Yours sincerely,</w:t>
      </w:r>
    </w:p>
    <w:p w:rsidR="008051DF" w:rsidRPr="00DE550C" w:rsidRDefault="008650BD" w:rsidP="00E948A8">
      <w:pPr>
        <w:rPr>
          <w:rFonts w:ascii="Verdana" w:hAnsi="Verdana" w:cs="Arial"/>
        </w:rPr>
      </w:pPr>
      <w:bookmarkStart w:id="5" w:name="StartPosition"/>
      <w:bookmarkEnd w:id="5"/>
      <w:r>
        <w:rPr>
          <w:noProof/>
        </w:rPr>
        <w:drawing>
          <wp:inline distT="0" distB="0" distL="0" distR="0" wp14:anchorId="56CAA791" wp14:editId="378B40A4">
            <wp:extent cx="1366788" cy="1388960"/>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840" cy="1389013"/>
                    </a:xfrm>
                    <a:prstGeom prst="rect">
                      <a:avLst/>
                    </a:prstGeom>
                    <a:noFill/>
                    <a:ln>
                      <a:noFill/>
                    </a:ln>
                  </pic:spPr>
                </pic:pic>
              </a:graphicData>
            </a:graphic>
          </wp:inline>
        </w:drawing>
      </w:r>
    </w:p>
    <w:p w:rsidR="003B370E" w:rsidRDefault="008650BD" w:rsidP="006C0A8E">
      <w:pPr>
        <w:rPr>
          <w:rFonts w:ascii="Verdana" w:hAnsi="Verdana" w:cs="Arial"/>
        </w:rPr>
      </w:pPr>
      <w:r>
        <w:rPr>
          <w:rFonts w:ascii="Verdana" w:hAnsi="Verdana" w:cs="Arial"/>
        </w:rPr>
        <w:t>Tanya (AFP 14692)</w:t>
      </w:r>
    </w:p>
    <w:p w:rsidR="008650BD" w:rsidRPr="00DE550C" w:rsidRDefault="008650BD" w:rsidP="006C0A8E">
      <w:pPr>
        <w:rPr>
          <w:rFonts w:ascii="Verdana" w:hAnsi="Verdana" w:cs="Arial"/>
        </w:rPr>
      </w:pPr>
      <w:r>
        <w:rPr>
          <w:rFonts w:ascii="Verdana" w:hAnsi="Verdana" w:cs="Arial"/>
        </w:rPr>
        <w:t>Acting Team Leader</w:t>
      </w:r>
    </w:p>
    <w:p w:rsidR="003B370E" w:rsidRDefault="003B370E" w:rsidP="006C0A8E">
      <w:pPr>
        <w:rPr>
          <w:rFonts w:ascii="Verdana" w:hAnsi="Verdana" w:cs="Arial"/>
        </w:rPr>
      </w:pPr>
      <w:r w:rsidRPr="00DE550C">
        <w:rPr>
          <w:rFonts w:ascii="Verdana" w:hAnsi="Verdana" w:cs="Arial"/>
        </w:rPr>
        <w:t xml:space="preserve">Freedom of information </w:t>
      </w:r>
    </w:p>
    <w:p w:rsidR="008051DF" w:rsidRDefault="008051DF" w:rsidP="00E948A8">
      <w:pPr>
        <w:rPr>
          <w:rFonts w:ascii="Arial" w:hAnsi="Arial" w:cs="Arial"/>
        </w:rPr>
      </w:pPr>
    </w:p>
    <w:p w:rsidR="00E33695" w:rsidRDefault="00E33695" w:rsidP="00E948A8">
      <w:pPr>
        <w:rPr>
          <w:rFonts w:ascii="Arial" w:hAnsi="Arial" w:cs="Arial"/>
        </w:rPr>
      </w:pPr>
    </w:p>
    <w:p w:rsidR="008F7EE3" w:rsidRDefault="008F7EE3" w:rsidP="00097501">
      <w:pPr>
        <w:pStyle w:val="ActHead5"/>
        <w:rPr>
          <w:rStyle w:val="CharSectno"/>
        </w:rPr>
      </w:pPr>
      <w:bookmarkStart w:id="6" w:name="_Toc270008160"/>
      <w:bookmarkStart w:id="7" w:name="_Toc164736151"/>
    </w:p>
    <w:p w:rsidR="002D38E5" w:rsidRDefault="002D38E5">
      <w:pPr>
        <w:rPr>
          <w:rStyle w:val="CharSectno"/>
          <w:rFonts w:ascii="Times New Roman" w:hAnsi="Times New Roman"/>
          <w:b/>
          <w:bCs/>
          <w:kern w:val="28"/>
          <w:sz w:val="24"/>
          <w:szCs w:val="32"/>
        </w:rPr>
      </w:pPr>
      <w:r>
        <w:rPr>
          <w:rStyle w:val="CharSectno"/>
        </w:rPr>
        <w:br w:type="page"/>
      </w:r>
    </w:p>
    <w:p w:rsidR="00097501" w:rsidRPr="00103869" w:rsidRDefault="00097501" w:rsidP="00097501">
      <w:pPr>
        <w:pStyle w:val="ActHead5"/>
      </w:pPr>
      <w:proofErr w:type="gramStart"/>
      <w:r w:rsidRPr="00103869">
        <w:rPr>
          <w:rStyle w:val="CharSectno"/>
        </w:rPr>
        <w:lastRenderedPageBreak/>
        <w:t>24AA</w:t>
      </w:r>
      <w:r w:rsidRPr="00103869">
        <w:t xml:space="preserve">  When</w:t>
      </w:r>
      <w:proofErr w:type="gramEnd"/>
      <w:r w:rsidRPr="00103869">
        <w:t xml:space="preserve"> does a </w:t>
      </w:r>
      <w:r w:rsidRPr="00103869">
        <w:rPr>
          <w:i/>
        </w:rPr>
        <w:t>practical refusal reason</w:t>
      </w:r>
      <w:r w:rsidRPr="00103869">
        <w:rPr>
          <w:b w:val="0"/>
        </w:rPr>
        <w:t xml:space="preserve"> </w:t>
      </w:r>
      <w:r w:rsidRPr="00103869">
        <w:t>exist?</w:t>
      </w:r>
      <w:bookmarkEnd w:id="6"/>
    </w:p>
    <w:p w:rsidR="00097501" w:rsidRPr="00103869" w:rsidRDefault="00097501" w:rsidP="00097501">
      <w:pPr>
        <w:pStyle w:val="subsection"/>
      </w:pPr>
      <w:r w:rsidRPr="00103869">
        <w:tab/>
        <w:t>(1)</w:t>
      </w:r>
      <w:r w:rsidRPr="00103869">
        <w:tab/>
        <w:t xml:space="preserve">For the purposes of section 24, a </w:t>
      </w:r>
      <w:r w:rsidRPr="00103869">
        <w:rPr>
          <w:b/>
          <w:i/>
        </w:rPr>
        <w:t xml:space="preserve">practical refusal reason </w:t>
      </w:r>
      <w:r w:rsidRPr="00103869">
        <w:t>exists in relation to a request for a document if either (or both) of the following applies:</w:t>
      </w:r>
    </w:p>
    <w:p w:rsidR="00097501" w:rsidRPr="00103869" w:rsidRDefault="00097501" w:rsidP="00097501">
      <w:pPr>
        <w:pStyle w:val="paragraph"/>
      </w:pPr>
      <w:r w:rsidRPr="00103869">
        <w:tab/>
        <w:t>(a)</w:t>
      </w:r>
      <w:r w:rsidRPr="00103869">
        <w:tab/>
      </w:r>
      <w:proofErr w:type="gramStart"/>
      <w:r w:rsidRPr="00103869">
        <w:t>the</w:t>
      </w:r>
      <w:proofErr w:type="gramEnd"/>
      <w:r w:rsidRPr="00103869">
        <w:t xml:space="preserve"> work involved in processing the request:</w:t>
      </w:r>
    </w:p>
    <w:p w:rsidR="00097501" w:rsidRPr="00103869" w:rsidRDefault="00097501" w:rsidP="00097501">
      <w:pPr>
        <w:pStyle w:val="paragraphsub"/>
      </w:pPr>
      <w:r w:rsidRPr="00103869">
        <w:tab/>
        <w:t>(</w:t>
      </w:r>
      <w:proofErr w:type="spellStart"/>
      <w:r w:rsidRPr="00103869">
        <w:t>i</w:t>
      </w:r>
      <w:proofErr w:type="spellEnd"/>
      <w:r w:rsidRPr="00103869">
        <w:t>)</w:t>
      </w:r>
      <w:r w:rsidRPr="00103869">
        <w:tab/>
      </w:r>
      <w:proofErr w:type="gramStart"/>
      <w:r w:rsidRPr="00103869">
        <w:t>in</w:t>
      </w:r>
      <w:proofErr w:type="gramEnd"/>
      <w:r w:rsidRPr="00103869">
        <w:t xml:space="preserve"> the case of an agency—would substantially and unreasonably divert the resources of the agency from its other operations; or</w:t>
      </w:r>
    </w:p>
    <w:p w:rsidR="00097501" w:rsidRPr="00103869" w:rsidRDefault="00097501" w:rsidP="00097501">
      <w:pPr>
        <w:pStyle w:val="paragraphsub"/>
      </w:pPr>
      <w:r w:rsidRPr="00103869">
        <w:tab/>
        <w:t>(ii)</w:t>
      </w:r>
      <w:r w:rsidRPr="00103869">
        <w:tab/>
      </w:r>
      <w:proofErr w:type="gramStart"/>
      <w:r w:rsidRPr="00103869">
        <w:t>in</w:t>
      </w:r>
      <w:proofErr w:type="gramEnd"/>
      <w:r w:rsidRPr="00103869">
        <w:t xml:space="preserve"> the case of a Minister—would substantially and unreasonably interfere with the performance of the Minister’s functions;</w:t>
      </w:r>
    </w:p>
    <w:p w:rsidR="00097501" w:rsidRPr="00103869" w:rsidRDefault="00097501" w:rsidP="00097501">
      <w:pPr>
        <w:pStyle w:val="paragraph"/>
      </w:pPr>
      <w:r w:rsidRPr="00103869">
        <w:tab/>
        <w:t>(b)</w:t>
      </w:r>
      <w:r w:rsidRPr="00103869">
        <w:tab/>
      </w:r>
      <w:proofErr w:type="gramStart"/>
      <w:r w:rsidRPr="00103869">
        <w:t>the</w:t>
      </w:r>
      <w:proofErr w:type="gramEnd"/>
      <w:r w:rsidRPr="00103869">
        <w:t xml:space="preserve"> request does not satisfy the requirement in paragraph 15(2)(b) (identification of documents).</w:t>
      </w:r>
    </w:p>
    <w:p w:rsidR="00097501" w:rsidRPr="00103869" w:rsidRDefault="00097501" w:rsidP="00097501">
      <w:pPr>
        <w:pStyle w:val="subsection"/>
      </w:pPr>
      <w:r w:rsidRPr="00103869">
        <w:tab/>
        <w:t>(2)</w:t>
      </w:r>
      <w:r w:rsidRPr="00103869">
        <w:tab/>
        <w:t>Subject to subsection (3), but without limiting the matters to which the agency or Minister may have regard, in deciding whether a practical refusal reason exists, the agency or Minister must have regard to the resources that would have to be used for the following:</w:t>
      </w:r>
    </w:p>
    <w:p w:rsidR="00097501" w:rsidRPr="00103869" w:rsidRDefault="00097501" w:rsidP="00097501">
      <w:pPr>
        <w:pStyle w:val="paragraph"/>
      </w:pPr>
      <w:r w:rsidRPr="00103869">
        <w:tab/>
        <w:t>(a)</w:t>
      </w:r>
      <w:r w:rsidRPr="00103869">
        <w:tab/>
      </w:r>
      <w:proofErr w:type="gramStart"/>
      <w:r w:rsidRPr="00103869">
        <w:t>identifying</w:t>
      </w:r>
      <w:proofErr w:type="gramEnd"/>
      <w:r w:rsidRPr="00103869">
        <w:t>, locating or collating the documents within the filing system of the agency, or the office of the Minister;</w:t>
      </w:r>
    </w:p>
    <w:p w:rsidR="00097501" w:rsidRPr="00103869" w:rsidRDefault="00097501" w:rsidP="00097501">
      <w:pPr>
        <w:pStyle w:val="paragraph"/>
      </w:pPr>
      <w:r w:rsidRPr="00103869">
        <w:tab/>
        <w:t>(b)</w:t>
      </w:r>
      <w:r w:rsidRPr="00103869">
        <w:tab/>
      </w:r>
      <w:proofErr w:type="gramStart"/>
      <w:r w:rsidRPr="00103869">
        <w:t>deciding</w:t>
      </w:r>
      <w:proofErr w:type="gramEnd"/>
      <w:r w:rsidRPr="00103869">
        <w:t xml:space="preserve"> whether to grant, refuse or defer access to a document to which the request relates, or to grant access to an edited copy of such a document, including resources that would have to be used for:</w:t>
      </w:r>
    </w:p>
    <w:p w:rsidR="00097501" w:rsidRPr="00103869" w:rsidRDefault="00097501" w:rsidP="00097501">
      <w:pPr>
        <w:pStyle w:val="paragraphsub"/>
      </w:pPr>
      <w:r w:rsidRPr="00103869">
        <w:tab/>
        <w:t>(</w:t>
      </w:r>
      <w:proofErr w:type="spellStart"/>
      <w:r w:rsidRPr="00103869">
        <w:t>i</w:t>
      </w:r>
      <w:proofErr w:type="spellEnd"/>
      <w:r w:rsidRPr="00103869">
        <w:t>)</w:t>
      </w:r>
      <w:r w:rsidRPr="00103869">
        <w:tab/>
      </w:r>
      <w:proofErr w:type="gramStart"/>
      <w:r w:rsidRPr="00103869">
        <w:t>examining</w:t>
      </w:r>
      <w:proofErr w:type="gramEnd"/>
      <w:r w:rsidRPr="00103869">
        <w:t xml:space="preserve"> the document; or</w:t>
      </w:r>
    </w:p>
    <w:p w:rsidR="00097501" w:rsidRPr="00103869" w:rsidRDefault="00097501" w:rsidP="00097501">
      <w:pPr>
        <w:pStyle w:val="paragraphsub"/>
      </w:pPr>
      <w:r w:rsidRPr="00103869">
        <w:tab/>
        <w:t>(ii)</w:t>
      </w:r>
      <w:r w:rsidRPr="00103869">
        <w:tab/>
      </w:r>
      <w:proofErr w:type="gramStart"/>
      <w:r w:rsidRPr="00103869">
        <w:t>consulting</w:t>
      </w:r>
      <w:proofErr w:type="gramEnd"/>
      <w:r w:rsidRPr="00103869">
        <w:t xml:space="preserve"> with any person or body in relation to the request;</w:t>
      </w:r>
    </w:p>
    <w:p w:rsidR="00097501" w:rsidRPr="00103869" w:rsidRDefault="00097501" w:rsidP="00097501">
      <w:pPr>
        <w:pStyle w:val="paragraph"/>
      </w:pPr>
      <w:r w:rsidRPr="00103869">
        <w:tab/>
        <w:t>(c)</w:t>
      </w:r>
      <w:r w:rsidRPr="00103869">
        <w:tab/>
      </w:r>
      <w:proofErr w:type="gramStart"/>
      <w:r w:rsidRPr="00103869">
        <w:t>making</w:t>
      </w:r>
      <w:proofErr w:type="gramEnd"/>
      <w:r w:rsidRPr="00103869">
        <w:t xml:space="preserve"> a copy, or an edited copy, of the document;</w:t>
      </w:r>
    </w:p>
    <w:p w:rsidR="00097501" w:rsidRPr="00103869" w:rsidRDefault="00097501" w:rsidP="00097501">
      <w:pPr>
        <w:pStyle w:val="paragraph"/>
      </w:pPr>
      <w:r w:rsidRPr="00103869">
        <w:tab/>
        <w:t>(d)</w:t>
      </w:r>
      <w:r w:rsidRPr="00103869">
        <w:tab/>
      </w:r>
      <w:proofErr w:type="gramStart"/>
      <w:r w:rsidRPr="00103869">
        <w:t>notifying</w:t>
      </w:r>
      <w:proofErr w:type="gramEnd"/>
      <w:r w:rsidRPr="00103869">
        <w:t xml:space="preserve"> any interim or final decision on the request.</w:t>
      </w:r>
    </w:p>
    <w:p w:rsidR="00097501" w:rsidRPr="00103869" w:rsidRDefault="00097501" w:rsidP="00097501">
      <w:pPr>
        <w:pStyle w:val="subsection"/>
      </w:pPr>
      <w:r w:rsidRPr="00103869">
        <w:tab/>
        <w:t>(3)</w:t>
      </w:r>
      <w:r w:rsidRPr="00103869">
        <w:tab/>
        <w:t>In deciding whether a practical refusal reason exists, an agency or Minister must not have regard to:</w:t>
      </w:r>
    </w:p>
    <w:p w:rsidR="00097501" w:rsidRPr="00103869" w:rsidRDefault="00097501" w:rsidP="00097501">
      <w:pPr>
        <w:pStyle w:val="paragraph"/>
      </w:pPr>
      <w:r w:rsidRPr="00103869">
        <w:tab/>
        <w:t>(a)</w:t>
      </w:r>
      <w:r w:rsidRPr="00103869">
        <w:tab/>
      </w:r>
      <w:proofErr w:type="gramStart"/>
      <w:r w:rsidRPr="00103869">
        <w:t>any</w:t>
      </w:r>
      <w:proofErr w:type="gramEnd"/>
      <w:r w:rsidRPr="00103869">
        <w:t xml:space="preserve"> reasons that the applicant gives for requesting access; or</w:t>
      </w:r>
    </w:p>
    <w:p w:rsidR="00097501" w:rsidRPr="00103869" w:rsidRDefault="00097501" w:rsidP="00097501">
      <w:pPr>
        <w:pStyle w:val="paragraph"/>
      </w:pPr>
      <w:r w:rsidRPr="00103869">
        <w:tab/>
        <w:t>(b)</w:t>
      </w:r>
      <w:r w:rsidRPr="00103869">
        <w:tab/>
      </w:r>
      <w:proofErr w:type="gramStart"/>
      <w:r w:rsidRPr="00103869">
        <w:t>the</w:t>
      </w:r>
      <w:proofErr w:type="gramEnd"/>
      <w:r w:rsidRPr="00103869">
        <w:t xml:space="preserve"> agency’s or Minister’s belief as to what the applicant’s reasons are for requesting access; or</w:t>
      </w:r>
    </w:p>
    <w:p w:rsidR="00097501" w:rsidRPr="00103869" w:rsidRDefault="00097501" w:rsidP="00097501">
      <w:pPr>
        <w:pStyle w:val="paragraph"/>
      </w:pPr>
      <w:r w:rsidRPr="00103869">
        <w:tab/>
        <w:t>(c)</w:t>
      </w:r>
      <w:r w:rsidRPr="00103869">
        <w:tab/>
      </w:r>
      <w:proofErr w:type="gramStart"/>
      <w:r w:rsidRPr="00103869">
        <w:t>any</w:t>
      </w:r>
      <w:proofErr w:type="gramEnd"/>
      <w:r w:rsidRPr="00103869">
        <w:t xml:space="preserve"> maximum amount, specified in the regulations, payable as a charge for processing a request of that kind.</w:t>
      </w:r>
    </w:p>
    <w:p w:rsidR="00097501" w:rsidRPr="00103869" w:rsidRDefault="00097501" w:rsidP="00097501">
      <w:pPr>
        <w:pStyle w:val="ActHead5"/>
      </w:pPr>
      <w:bookmarkStart w:id="8" w:name="_Toc270008161"/>
      <w:proofErr w:type="gramStart"/>
      <w:r w:rsidRPr="00103869">
        <w:rPr>
          <w:rStyle w:val="CharSectno"/>
        </w:rPr>
        <w:t>24AB</w:t>
      </w:r>
      <w:r w:rsidRPr="00103869">
        <w:t xml:space="preserve">  What</w:t>
      </w:r>
      <w:proofErr w:type="gramEnd"/>
      <w:r w:rsidRPr="00103869">
        <w:t xml:space="preserve"> is a </w:t>
      </w:r>
      <w:r w:rsidRPr="00103869">
        <w:rPr>
          <w:i/>
        </w:rPr>
        <w:t>request consultation process</w:t>
      </w:r>
      <w:r w:rsidRPr="00103869">
        <w:t>?</w:t>
      </w:r>
      <w:bookmarkEnd w:id="8"/>
    </w:p>
    <w:p w:rsidR="00097501" w:rsidRPr="00103869" w:rsidRDefault="00097501" w:rsidP="00097501">
      <w:pPr>
        <w:pStyle w:val="SubsectionHead"/>
      </w:pPr>
      <w:r w:rsidRPr="00103869">
        <w:t>Scope</w:t>
      </w:r>
    </w:p>
    <w:p w:rsidR="00097501" w:rsidRPr="00103869" w:rsidRDefault="00097501" w:rsidP="00097501">
      <w:pPr>
        <w:pStyle w:val="subsection"/>
      </w:pPr>
      <w:r w:rsidRPr="00103869">
        <w:tab/>
        <w:t>(1)</w:t>
      </w:r>
      <w:r w:rsidRPr="00103869">
        <w:tab/>
        <w:t xml:space="preserve">This section sets out what is a </w:t>
      </w:r>
      <w:r w:rsidRPr="00103869">
        <w:rPr>
          <w:b/>
          <w:i/>
        </w:rPr>
        <w:t>request consultation process</w:t>
      </w:r>
      <w:r w:rsidRPr="00103869">
        <w:t xml:space="preserve"> for the purposes of section 24.</w:t>
      </w:r>
    </w:p>
    <w:p w:rsidR="00097501" w:rsidRPr="00103869" w:rsidRDefault="00097501" w:rsidP="00097501">
      <w:pPr>
        <w:pStyle w:val="SubsectionHead"/>
      </w:pPr>
      <w:r w:rsidRPr="00103869">
        <w:t>Requirement to notify</w:t>
      </w:r>
    </w:p>
    <w:p w:rsidR="00097501" w:rsidRPr="00103869" w:rsidRDefault="00097501" w:rsidP="00097501">
      <w:pPr>
        <w:pStyle w:val="subsection"/>
      </w:pPr>
      <w:r w:rsidRPr="00103869">
        <w:tab/>
        <w:t>(2)</w:t>
      </w:r>
      <w:r w:rsidRPr="00103869">
        <w:tab/>
        <w:t>The agency or Minister must give the applicant a written notice stating the following:</w:t>
      </w:r>
    </w:p>
    <w:p w:rsidR="00097501" w:rsidRPr="00103869" w:rsidRDefault="00097501" w:rsidP="00097501">
      <w:pPr>
        <w:pStyle w:val="paragraph"/>
      </w:pPr>
      <w:r w:rsidRPr="00103869">
        <w:tab/>
        <w:t>(a)</w:t>
      </w:r>
      <w:r w:rsidRPr="00103869">
        <w:tab/>
      </w:r>
      <w:proofErr w:type="gramStart"/>
      <w:r w:rsidRPr="00103869">
        <w:t>an</w:t>
      </w:r>
      <w:proofErr w:type="gramEnd"/>
      <w:r w:rsidRPr="00103869">
        <w:t xml:space="preserve"> intention to refuse access to a document in accordance with a request;</w:t>
      </w:r>
    </w:p>
    <w:p w:rsidR="00097501" w:rsidRPr="00103869" w:rsidRDefault="00097501" w:rsidP="00097501">
      <w:pPr>
        <w:pStyle w:val="paragraph"/>
      </w:pPr>
      <w:r w:rsidRPr="00103869">
        <w:tab/>
        <w:t>(b)</w:t>
      </w:r>
      <w:r w:rsidRPr="00103869">
        <w:tab/>
      </w:r>
      <w:proofErr w:type="gramStart"/>
      <w:r w:rsidRPr="00103869">
        <w:t>the</w:t>
      </w:r>
      <w:proofErr w:type="gramEnd"/>
      <w:r w:rsidRPr="00103869">
        <w:t xml:space="preserve"> practical refusal reason;</w:t>
      </w:r>
    </w:p>
    <w:p w:rsidR="00097501" w:rsidRPr="00103869" w:rsidRDefault="00097501" w:rsidP="00097501">
      <w:pPr>
        <w:pStyle w:val="paragraph"/>
      </w:pPr>
      <w:r w:rsidRPr="00103869">
        <w:tab/>
        <w:t>(c)</w:t>
      </w:r>
      <w:r w:rsidRPr="00103869">
        <w:tab/>
      </w:r>
      <w:proofErr w:type="gramStart"/>
      <w:r w:rsidRPr="00103869">
        <w:t>the</w:t>
      </w:r>
      <w:proofErr w:type="gramEnd"/>
      <w:r w:rsidRPr="00103869">
        <w:t xml:space="preserve"> name of an officer of the agency or member of staff of the Minister (the </w:t>
      </w:r>
      <w:r w:rsidRPr="00103869">
        <w:rPr>
          <w:b/>
          <w:i/>
        </w:rPr>
        <w:t>contact person</w:t>
      </w:r>
      <w:r w:rsidRPr="00103869">
        <w:t>) with whom the applicant may consult during a period;</w:t>
      </w:r>
    </w:p>
    <w:p w:rsidR="00097501" w:rsidRPr="00103869" w:rsidRDefault="00097501" w:rsidP="00097501">
      <w:pPr>
        <w:pStyle w:val="paragraph"/>
      </w:pPr>
      <w:r w:rsidRPr="00103869">
        <w:tab/>
        <w:t>(d)</w:t>
      </w:r>
      <w:r w:rsidRPr="00103869">
        <w:tab/>
      </w:r>
      <w:proofErr w:type="gramStart"/>
      <w:r w:rsidRPr="00103869">
        <w:t>details</w:t>
      </w:r>
      <w:proofErr w:type="gramEnd"/>
      <w:r w:rsidRPr="00103869">
        <w:t xml:space="preserve"> of how the applicant may contact the contact person;</w:t>
      </w:r>
    </w:p>
    <w:p w:rsidR="00097501" w:rsidRPr="00103869" w:rsidRDefault="00097501" w:rsidP="00097501">
      <w:pPr>
        <w:pStyle w:val="paragraph"/>
      </w:pPr>
      <w:r w:rsidRPr="00103869">
        <w:tab/>
        <w:t>(e)</w:t>
      </w:r>
      <w:r w:rsidRPr="00103869">
        <w:tab/>
      </w:r>
      <w:proofErr w:type="gramStart"/>
      <w:r w:rsidRPr="00103869">
        <w:t>that</w:t>
      </w:r>
      <w:proofErr w:type="gramEnd"/>
      <w:r w:rsidRPr="00103869">
        <w:t xml:space="preserve"> the period (the </w:t>
      </w:r>
      <w:r w:rsidRPr="00103869">
        <w:rPr>
          <w:b/>
          <w:i/>
        </w:rPr>
        <w:t>consultation period</w:t>
      </w:r>
      <w:r w:rsidRPr="00103869">
        <w:t>) during which the applicant may consult with the contact person is 14 days after the day the applicant is given the notice.</w:t>
      </w:r>
    </w:p>
    <w:p w:rsidR="00097501" w:rsidRPr="00103869" w:rsidRDefault="00097501" w:rsidP="00097501">
      <w:pPr>
        <w:pStyle w:val="SubsectionHead"/>
      </w:pPr>
      <w:r w:rsidRPr="00103869">
        <w:t>Assistance to revise request</w:t>
      </w:r>
    </w:p>
    <w:p w:rsidR="00097501" w:rsidRPr="00103869" w:rsidRDefault="00097501" w:rsidP="00097501">
      <w:pPr>
        <w:pStyle w:val="subsection"/>
      </w:pPr>
      <w:r w:rsidRPr="00103869">
        <w:tab/>
        <w:t>(3)</w:t>
      </w:r>
      <w:r w:rsidRPr="00103869">
        <w:tab/>
        <w:t>If the applicant contacts the contact person during the consultation period in accordance with the notice, the agency or Minister must take reasonable steps to assist the applicant to revise the request so that the practical refusal reason no longer exists.</w:t>
      </w:r>
    </w:p>
    <w:p w:rsidR="00097501" w:rsidRPr="00103869" w:rsidRDefault="00097501" w:rsidP="00097501">
      <w:pPr>
        <w:pStyle w:val="subsection"/>
      </w:pPr>
      <w:r w:rsidRPr="00103869">
        <w:tab/>
        <w:t>(4)</w:t>
      </w:r>
      <w:r w:rsidRPr="00103869">
        <w:tab/>
        <w:t xml:space="preserve">For the purposes of subsection (3), </w:t>
      </w:r>
      <w:proofErr w:type="gramStart"/>
      <w:r w:rsidRPr="00103869">
        <w:rPr>
          <w:b/>
          <w:i/>
        </w:rPr>
        <w:t>reasonable steps</w:t>
      </w:r>
      <w:r w:rsidRPr="00103869">
        <w:t xml:space="preserve"> includes</w:t>
      </w:r>
      <w:proofErr w:type="gramEnd"/>
      <w:r w:rsidRPr="00103869">
        <w:t xml:space="preserve"> the following:</w:t>
      </w:r>
    </w:p>
    <w:p w:rsidR="00097501" w:rsidRPr="00103869" w:rsidRDefault="00097501" w:rsidP="00097501">
      <w:pPr>
        <w:pStyle w:val="paragraph"/>
      </w:pPr>
      <w:r w:rsidRPr="00103869">
        <w:tab/>
        <w:t>(a)</w:t>
      </w:r>
      <w:r w:rsidRPr="00103869">
        <w:tab/>
      </w:r>
      <w:proofErr w:type="gramStart"/>
      <w:r w:rsidRPr="00103869">
        <w:t>giving</w:t>
      </w:r>
      <w:proofErr w:type="gramEnd"/>
      <w:r w:rsidRPr="00103869">
        <w:t xml:space="preserve"> the applicant a reasonable opportunity to consult with the contact person;</w:t>
      </w:r>
    </w:p>
    <w:p w:rsidR="00097501" w:rsidRPr="00103869" w:rsidRDefault="00097501" w:rsidP="00097501">
      <w:pPr>
        <w:pStyle w:val="paragraph"/>
      </w:pPr>
      <w:r w:rsidRPr="00103869">
        <w:lastRenderedPageBreak/>
        <w:tab/>
        <w:t>(b)</w:t>
      </w:r>
      <w:r w:rsidRPr="00103869">
        <w:tab/>
      </w:r>
      <w:proofErr w:type="gramStart"/>
      <w:r w:rsidRPr="00103869">
        <w:t>providing</w:t>
      </w:r>
      <w:proofErr w:type="gramEnd"/>
      <w:r w:rsidRPr="00103869">
        <w:t xml:space="preserve"> the applicant with any information that would assist the applicant to revise the request.</w:t>
      </w:r>
    </w:p>
    <w:p w:rsidR="00097501" w:rsidRPr="00103869" w:rsidRDefault="00097501" w:rsidP="00097501">
      <w:pPr>
        <w:pStyle w:val="SubsectionHead"/>
      </w:pPr>
      <w:r w:rsidRPr="00103869">
        <w:t>Extension of consultation period</w:t>
      </w:r>
    </w:p>
    <w:p w:rsidR="00097501" w:rsidRPr="00103869" w:rsidRDefault="00097501" w:rsidP="00097501">
      <w:pPr>
        <w:pStyle w:val="subsection"/>
      </w:pPr>
      <w:r w:rsidRPr="00103869">
        <w:tab/>
        <w:t>(5)</w:t>
      </w:r>
      <w:r w:rsidRPr="00103869">
        <w:tab/>
        <w:t>The contact person may, with the applicant’s agreement, extend the consultation period by written notice to the applicant.</w:t>
      </w:r>
    </w:p>
    <w:p w:rsidR="00097501" w:rsidRPr="00103869" w:rsidRDefault="00097501" w:rsidP="00097501">
      <w:pPr>
        <w:pStyle w:val="SubsectionHead"/>
      </w:pPr>
      <w:r w:rsidRPr="00103869">
        <w:t>Outcome of request consultation process</w:t>
      </w:r>
    </w:p>
    <w:p w:rsidR="00097501" w:rsidRPr="00103869" w:rsidRDefault="00097501" w:rsidP="00097501">
      <w:pPr>
        <w:pStyle w:val="subsection"/>
      </w:pPr>
      <w:r w:rsidRPr="00103869">
        <w:tab/>
        <w:t>(6)</w:t>
      </w:r>
      <w:r w:rsidRPr="00103869">
        <w:tab/>
        <w:t>The applicant must, before the end of the consultation period, do one of the following, by written notice to the agency or Minister:</w:t>
      </w:r>
    </w:p>
    <w:p w:rsidR="00097501" w:rsidRPr="00103869" w:rsidRDefault="00097501" w:rsidP="00097501">
      <w:pPr>
        <w:pStyle w:val="paragraph"/>
      </w:pPr>
      <w:r w:rsidRPr="00103869">
        <w:tab/>
        <w:t>(a)</w:t>
      </w:r>
      <w:r w:rsidRPr="00103869">
        <w:tab/>
      </w:r>
      <w:proofErr w:type="gramStart"/>
      <w:r w:rsidRPr="00103869">
        <w:t>withdraw</w:t>
      </w:r>
      <w:proofErr w:type="gramEnd"/>
      <w:r w:rsidRPr="00103869">
        <w:t xml:space="preserve"> the request;</w:t>
      </w:r>
    </w:p>
    <w:p w:rsidR="00097501" w:rsidRPr="00103869" w:rsidRDefault="00097501" w:rsidP="00097501">
      <w:pPr>
        <w:pStyle w:val="paragraph"/>
      </w:pPr>
      <w:r w:rsidRPr="00103869">
        <w:tab/>
        <w:t>(b)</w:t>
      </w:r>
      <w:r w:rsidRPr="00103869">
        <w:tab/>
      </w:r>
      <w:proofErr w:type="gramStart"/>
      <w:r w:rsidRPr="00103869">
        <w:t>make</w:t>
      </w:r>
      <w:proofErr w:type="gramEnd"/>
      <w:r w:rsidRPr="00103869">
        <w:t xml:space="preserve"> a revised request;</w:t>
      </w:r>
    </w:p>
    <w:p w:rsidR="00097501" w:rsidRPr="00103869" w:rsidRDefault="00097501" w:rsidP="00097501">
      <w:pPr>
        <w:pStyle w:val="paragraph"/>
      </w:pPr>
      <w:r w:rsidRPr="00103869">
        <w:tab/>
        <w:t>(c)</w:t>
      </w:r>
      <w:r w:rsidRPr="00103869">
        <w:tab/>
      </w:r>
      <w:proofErr w:type="gramStart"/>
      <w:r w:rsidRPr="00103869">
        <w:t>indicate</w:t>
      </w:r>
      <w:proofErr w:type="gramEnd"/>
      <w:r w:rsidRPr="00103869">
        <w:t xml:space="preserve"> that the applicant does not wish to revise the request.</w:t>
      </w:r>
    </w:p>
    <w:p w:rsidR="00097501" w:rsidRPr="00103869" w:rsidRDefault="00097501" w:rsidP="00097501">
      <w:pPr>
        <w:pStyle w:val="subsection"/>
      </w:pPr>
      <w:r w:rsidRPr="00103869">
        <w:tab/>
        <w:t>(7)</w:t>
      </w:r>
      <w:r w:rsidRPr="00103869">
        <w:tab/>
        <w:t>The request is taken to have been withdrawn under subsection (6) at the end of the consultation period if:</w:t>
      </w:r>
    </w:p>
    <w:p w:rsidR="00097501" w:rsidRPr="00103869" w:rsidRDefault="00097501" w:rsidP="00097501">
      <w:pPr>
        <w:pStyle w:val="paragraph"/>
      </w:pPr>
      <w:r w:rsidRPr="00103869">
        <w:tab/>
        <w:t>(a)</w:t>
      </w:r>
      <w:r w:rsidRPr="00103869">
        <w:tab/>
      </w:r>
      <w:proofErr w:type="gramStart"/>
      <w:r w:rsidRPr="00103869">
        <w:t>the</w:t>
      </w:r>
      <w:proofErr w:type="gramEnd"/>
      <w:r w:rsidRPr="00103869">
        <w:t xml:space="preserve"> applicant does not consult the contact person during the consultation period in accordance with the notice; or</w:t>
      </w:r>
    </w:p>
    <w:p w:rsidR="00097501" w:rsidRPr="00103869" w:rsidRDefault="00097501" w:rsidP="00097501">
      <w:pPr>
        <w:pStyle w:val="paragraph"/>
      </w:pPr>
      <w:r w:rsidRPr="00103869">
        <w:tab/>
        <w:t>(b)</w:t>
      </w:r>
      <w:r w:rsidRPr="00103869">
        <w:tab/>
      </w:r>
      <w:proofErr w:type="gramStart"/>
      <w:r w:rsidRPr="00103869">
        <w:t>the</w:t>
      </w:r>
      <w:proofErr w:type="gramEnd"/>
      <w:r w:rsidRPr="00103869">
        <w:t xml:space="preserve"> applicant does not do one of the things mentioned in subsection (6) before the end of the consultation period.</w:t>
      </w:r>
    </w:p>
    <w:p w:rsidR="00097501" w:rsidRPr="00103869" w:rsidRDefault="00097501" w:rsidP="00097501">
      <w:pPr>
        <w:pStyle w:val="SubsectionHead"/>
      </w:pPr>
      <w:r w:rsidRPr="00103869">
        <w:t>Consultation period to be disregarded in calculating processing period</w:t>
      </w:r>
    </w:p>
    <w:p w:rsidR="00097501" w:rsidRPr="00103869" w:rsidRDefault="00097501" w:rsidP="00097501">
      <w:pPr>
        <w:pStyle w:val="subsection"/>
      </w:pPr>
      <w:r w:rsidRPr="00103869">
        <w:tab/>
        <w:t>(8)</w:t>
      </w:r>
      <w:r w:rsidRPr="00103869">
        <w:tab/>
        <w:t>The period starting on the day an applicant is given a notice under subsection (2) and ending on the day the applicant does one of the things mentioned in paragraph (6)(b) or (c) is to be disregarded in working out the 30 day period mentioned in paragraph 15(5)(b).</w:t>
      </w:r>
    </w:p>
    <w:p w:rsidR="00097501" w:rsidRPr="00103869" w:rsidRDefault="00097501" w:rsidP="00097501">
      <w:pPr>
        <w:pStyle w:val="notetext"/>
      </w:pPr>
      <w:r w:rsidRPr="00103869">
        <w:t>Note:</w:t>
      </w:r>
      <w:r w:rsidRPr="00103869">
        <w:tab/>
        <w:t>Paragraph 15(5)(b) requires that an agency or Minister take all reasonable steps to notify an applicant of a decision on the applicant’s request within 30 days after the request is made.</w:t>
      </w:r>
    </w:p>
    <w:p w:rsidR="00097501" w:rsidRPr="00103869" w:rsidRDefault="00097501" w:rsidP="00097501">
      <w:pPr>
        <w:pStyle w:val="SubsectionHead"/>
      </w:pPr>
      <w:r w:rsidRPr="00103869">
        <w:t>No more than one request consultation process required</w:t>
      </w:r>
    </w:p>
    <w:p w:rsidR="00097501" w:rsidRPr="00103869" w:rsidRDefault="00097501" w:rsidP="00097501">
      <w:pPr>
        <w:pStyle w:val="subsection"/>
      </w:pPr>
      <w:r w:rsidRPr="00103869">
        <w:tab/>
        <w:t>(9)</w:t>
      </w:r>
      <w:r w:rsidRPr="00103869">
        <w:tab/>
        <w:t>To avoid doubt, this section only obliges the agency or Minister to undertake a request consultation process once for any particular request.</w:t>
      </w:r>
    </w:p>
    <w:bookmarkEnd w:id="7"/>
    <w:p w:rsidR="005512E0" w:rsidRDefault="005512E0" w:rsidP="00E33695">
      <w:pPr>
        <w:pStyle w:val="ActHead5"/>
        <w:rPr>
          <w:rFonts w:ascii="Arial" w:hAnsi="Arial" w:cs="Arial"/>
          <w:sz w:val="28"/>
          <w:szCs w:val="28"/>
        </w:rPr>
      </w:pPr>
    </w:p>
    <w:sectPr w:rsidR="005512E0" w:rsidSect="003B75C6">
      <w:type w:val="continuous"/>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15" w:rsidRDefault="00E26315">
      <w:r>
        <w:separator/>
      </w:r>
    </w:p>
  </w:endnote>
  <w:endnote w:type="continuationSeparator" w:id="0">
    <w:p w:rsidR="00E26315" w:rsidRDefault="00E2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15" w:rsidRDefault="00E26315">
      <w:r>
        <w:separator/>
      </w:r>
    </w:p>
  </w:footnote>
  <w:footnote w:type="continuationSeparator" w:id="0">
    <w:p w:rsidR="00E26315" w:rsidRDefault="00E2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03FC"/>
    <w:multiLevelType w:val="multilevel"/>
    <w:tmpl w:val="5FEC5E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8C"/>
    <w:rsid w:val="000056D6"/>
    <w:rsid w:val="000150F5"/>
    <w:rsid w:val="00020447"/>
    <w:rsid w:val="000273A2"/>
    <w:rsid w:val="000346A9"/>
    <w:rsid w:val="00045510"/>
    <w:rsid w:val="000779BE"/>
    <w:rsid w:val="00097501"/>
    <w:rsid w:val="000A192B"/>
    <w:rsid w:val="000A734A"/>
    <w:rsid w:val="000C0DC1"/>
    <w:rsid w:val="000C140C"/>
    <w:rsid w:val="000C3C06"/>
    <w:rsid w:val="000C5651"/>
    <w:rsid w:val="000D0DE8"/>
    <w:rsid w:val="000D1064"/>
    <w:rsid w:val="000E0839"/>
    <w:rsid w:val="000F2BF8"/>
    <w:rsid w:val="00100DBA"/>
    <w:rsid w:val="00102915"/>
    <w:rsid w:val="001149EA"/>
    <w:rsid w:val="00117D19"/>
    <w:rsid w:val="00121D85"/>
    <w:rsid w:val="001361D5"/>
    <w:rsid w:val="001433E6"/>
    <w:rsid w:val="00146841"/>
    <w:rsid w:val="0015308E"/>
    <w:rsid w:val="00153E57"/>
    <w:rsid w:val="00154037"/>
    <w:rsid w:val="00155C75"/>
    <w:rsid w:val="0016270F"/>
    <w:rsid w:val="0016657C"/>
    <w:rsid w:val="00176DFA"/>
    <w:rsid w:val="00184BF4"/>
    <w:rsid w:val="001A1174"/>
    <w:rsid w:val="001B20B3"/>
    <w:rsid w:val="001E7ABC"/>
    <w:rsid w:val="001F5207"/>
    <w:rsid w:val="001F75A3"/>
    <w:rsid w:val="00214D58"/>
    <w:rsid w:val="00260D9D"/>
    <w:rsid w:val="002647E8"/>
    <w:rsid w:val="00267BCD"/>
    <w:rsid w:val="00275A15"/>
    <w:rsid w:val="00287788"/>
    <w:rsid w:val="002A127E"/>
    <w:rsid w:val="002A49E3"/>
    <w:rsid w:val="002C50AF"/>
    <w:rsid w:val="002D2B6E"/>
    <w:rsid w:val="002D38E5"/>
    <w:rsid w:val="002D52E0"/>
    <w:rsid w:val="002E60C5"/>
    <w:rsid w:val="002F021B"/>
    <w:rsid w:val="002F0BA4"/>
    <w:rsid w:val="00311053"/>
    <w:rsid w:val="00311D5A"/>
    <w:rsid w:val="00324787"/>
    <w:rsid w:val="0033087F"/>
    <w:rsid w:val="0034329D"/>
    <w:rsid w:val="0034753B"/>
    <w:rsid w:val="003504C4"/>
    <w:rsid w:val="00351C4C"/>
    <w:rsid w:val="00371BA5"/>
    <w:rsid w:val="003801AA"/>
    <w:rsid w:val="00380E3D"/>
    <w:rsid w:val="003826A3"/>
    <w:rsid w:val="00394B55"/>
    <w:rsid w:val="003A36AA"/>
    <w:rsid w:val="003A67EF"/>
    <w:rsid w:val="003B370E"/>
    <w:rsid w:val="003B4421"/>
    <w:rsid w:val="003B75C6"/>
    <w:rsid w:val="003B7C16"/>
    <w:rsid w:val="003B7F9F"/>
    <w:rsid w:val="003C6DA4"/>
    <w:rsid w:val="003C6DD8"/>
    <w:rsid w:val="003D1864"/>
    <w:rsid w:val="003F32BD"/>
    <w:rsid w:val="003F343A"/>
    <w:rsid w:val="00402146"/>
    <w:rsid w:val="004137F3"/>
    <w:rsid w:val="0041651E"/>
    <w:rsid w:val="004201A9"/>
    <w:rsid w:val="00434632"/>
    <w:rsid w:val="00445DD4"/>
    <w:rsid w:val="00452070"/>
    <w:rsid w:val="00457C79"/>
    <w:rsid w:val="004657D3"/>
    <w:rsid w:val="004660A5"/>
    <w:rsid w:val="00470614"/>
    <w:rsid w:val="00472C15"/>
    <w:rsid w:val="0049270D"/>
    <w:rsid w:val="004B1C30"/>
    <w:rsid w:val="004B75AB"/>
    <w:rsid w:val="004C5670"/>
    <w:rsid w:val="004D186F"/>
    <w:rsid w:val="004F1A91"/>
    <w:rsid w:val="004F294F"/>
    <w:rsid w:val="005179D0"/>
    <w:rsid w:val="00521D7E"/>
    <w:rsid w:val="0052328B"/>
    <w:rsid w:val="0052513F"/>
    <w:rsid w:val="0053100B"/>
    <w:rsid w:val="00531A97"/>
    <w:rsid w:val="005323CC"/>
    <w:rsid w:val="0053497E"/>
    <w:rsid w:val="00535FD8"/>
    <w:rsid w:val="00540156"/>
    <w:rsid w:val="005409EF"/>
    <w:rsid w:val="005445E6"/>
    <w:rsid w:val="005512E0"/>
    <w:rsid w:val="00556ABA"/>
    <w:rsid w:val="005601E8"/>
    <w:rsid w:val="00560730"/>
    <w:rsid w:val="00564474"/>
    <w:rsid w:val="00595CB4"/>
    <w:rsid w:val="005974E1"/>
    <w:rsid w:val="005A484F"/>
    <w:rsid w:val="005B5CEF"/>
    <w:rsid w:val="005B6825"/>
    <w:rsid w:val="005C2117"/>
    <w:rsid w:val="005D462B"/>
    <w:rsid w:val="005E10EF"/>
    <w:rsid w:val="00612DE1"/>
    <w:rsid w:val="00622EC7"/>
    <w:rsid w:val="006370CF"/>
    <w:rsid w:val="006452C3"/>
    <w:rsid w:val="0065388C"/>
    <w:rsid w:val="00663007"/>
    <w:rsid w:val="00671664"/>
    <w:rsid w:val="00673659"/>
    <w:rsid w:val="00684963"/>
    <w:rsid w:val="00692D5E"/>
    <w:rsid w:val="00693FEF"/>
    <w:rsid w:val="006A2848"/>
    <w:rsid w:val="006C0A8E"/>
    <w:rsid w:val="006C441C"/>
    <w:rsid w:val="006D0331"/>
    <w:rsid w:val="006E29A8"/>
    <w:rsid w:val="006F1801"/>
    <w:rsid w:val="006F3DC7"/>
    <w:rsid w:val="006F7DFB"/>
    <w:rsid w:val="0071117F"/>
    <w:rsid w:val="0071333B"/>
    <w:rsid w:val="00716FE1"/>
    <w:rsid w:val="007179F3"/>
    <w:rsid w:val="007255E0"/>
    <w:rsid w:val="007265B5"/>
    <w:rsid w:val="007317AC"/>
    <w:rsid w:val="0074273B"/>
    <w:rsid w:val="007444CD"/>
    <w:rsid w:val="00751EBC"/>
    <w:rsid w:val="00756D6E"/>
    <w:rsid w:val="007576E1"/>
    <w:rsid w:val="00762149"/>
    <w:rsid w:val="00765B4B"/>
    <w:rsid w:val="007772AF"/>
    <w:rsid w:val="00782237"/>
    <w:rsid w:val="0079246A"/>
    <w:rsid w:val="007938C4"/>
    <w:rsid w:val="00795092"/>
    <w:rsid w:val="00795E04"/>
    <w:rsid w:val="007A1645"/>
    <w:rsid w:val="007B038A"/>
    <w:rsid w:val="007D434A"/>
    <w:rsid w:val="007E11C7"/>
    <w:rsid w:val="007E1592"/>
    <w:rsid w:val="007E4058"/>
    <w:rsid w:val="007E5273"/>
    <w:rsid w:val="007E52C0"/>
    <w:rsid w:val="007E56F9"/>
    <w:rsid w:val="007F6017"/>
    <w:rsid w:val="007F7BFD"/>
    <w:rsid w:val="00805168"/>
    <w:rsid w:val="008051DF"/>
    <w:rsid w:val="00811176"/>
    <w:rsid w:val="00814696"/>
    <w:rsid w:val="00820192"/>
    <w:rsid w:val="00827967"/>
    <w:rsid w:val="00832FF9"/>
    <w:rsid w:val="008343C5"/>
    <w:rsid w:val="0084652F"/>
    <w:rsid w:val="008650BD"/>
    <w:rsid w:val="00876954"/>
    <w:rsid w:val="0087763A"/>
    <w:rsid w:val="008851A5"/>
    <w:rsid w:val="00886350"/>
    <w:rsid w:val="008B513F"/>
    <w:rsid w:val="008B62D1"/>
    <w:rsid w:val="008C2067"/>
    <w:rsid w:val="008D20A7"/>
    <w:rsid w:val="008E580E"/>
    <w:rsid w:val="008F7EE3"/>
    <w:rsid w:val="00902DDB"/>
    <w:rsid w:val="009108DE"/>
    <w:rsid w:val="009152F0"/>
    <w:rsid w:val="00917397"/>
    <w:rsid w:val="0092245D"/>
    <w:rsid w:val="00924743"/>
    <w:rsid w:val="009374D4"/>
    <w:rsid w:val="0095064E"/>
    <w:rsid w:val="00953805"/>
    <w:rsid w:val="009547B8"/>
    <w:rsid w:val="009554D1"/>
    <w:rsid w:val="00966ADD"/>
    <w:rsid w:val="00991A05"/>
    <w:rsid w:val="00992622"/>
    <w:rsid w:val="009B3D16"/>
    <w:rsid w:val="009D097A"/>
    <w:rsid w:val="009D7671"/>
    <w:rsid w:val="009E22D0"/>
    <w:rsid w:val="009E7956"/>
    <w:rsid w:val="009F2B73"/>
    <w:rsid w:val="00A01260"/>
    <w:rsid w:val="00A11700"/>
    <w:rsid w:val="00A20CA9"/>
    <w:rsid w:val="00A35521"/>
    <w:rsid w:val="00A445D2"/>
    <w:rsid w:val="00A65F7B"/>
    <w:rsid w:val="00A67C44"/>
    <w:rsid w:val="00A75E1C"/>
    <w:rsid w:val="00A82C5E"/>
    <w:rsid w:val="00A92340"/>
    <w:rsid w:val="00A965C1"/>
    <w:rsid w:val="00AA472F"/>
    <w:rsid w:val="00AC0683"/>
    <w:rsid w:val="00AC7E55"/>
    <w:rsid w:val="00AC7FE5"/>
    <w:rsid w:val="00AD2212"/>
    <w:rsid w:val="00AE19DF"/>
    <w:rsid w:val="00B014E7"/>
    <w:rsid w:val="00B14B35"/>
    <w:rsid w:val="00B257E0"/>
    <w:rsid w:val="00B346F9"/>
    <w:rsid w:val="00B37E85"/>
    <w:rsid w:val="00B4419A"/>
    <w:rsid w:val="00B50DE1"/>
    <w:rsid w:val="00B53F97"/>
    <w:rsid w:val="00B545E7"/>
    <w:rsid w:val="00B567B1"/>
    <w:rsid w:val="00B7168B"/>
    <w:rsid w:val="00B75137"/>
    <w:rsid w:val="00B815F8"/>
    <w:rsid w:val="00B852A6"/>
    <w:rsid w:val="00B945AD"/>
    <w:rsid w:val="00B94693"/>
    <w:rsid w:val="00B958B3"/>
    <w:rsid w:val="00BA4BE3"/>
    <w:rsid w:val="00BB267C"/>
    <w:rsid w:val="00BC6494"/>
    <w:rsid w:val="00BD5E19"/>
    <w:rsid w:val="00BF32E1"/>
    <w:rsid w:val="00C27B5D"/>
    <w:rsid w:val="00C31F7B"/>
    <w:rsid w:val="00C37357"/>
    <w:rsid w:val="00C4174F"/>
    <w:rsid w:val="00C41D64"/>
    <w:rsid w:val="00C44887"/>
    <w:rsid w:val="00C4636D"/>
    <w:rsid w:val="00C516C2"/>
    <w:rsid w:val="00C54781"/>
    <w:rsid w:val="00C55658"/>
    <w:rsid w:val="00C649B7"/>
    <w:rsid w:val="00CA0D7C"/>
    <w:rsid w:val="00CA2597"/>
    <w:rsid w:val="00CA2D74"/>
    <w:rsid w:val="00CA5B6C"/>
    <w:rsid w:val="00CB5A42"/>
    <w:rsid w:val="00CB7A8C"/>
    <w:rsid w:val="00CE3626"/>
    <w:rsid w:val="00CE38C8"/>
    <w:rsid w:val="00CE47AD"/>
    <w:rsid w:val="00CE7E28"/>
    <w:rsid w:val="00CF4882"/>
    <w:rsid w:val="00CF787F"/>
    <w:rsid w:val="00D078F9"/>
    <w:rsid w:val="00D1422B"/>
    <w:rsid w:val="00D15A74"/>
    <w:rsid w:val="00D16435"/>
    <w:rsid w:val="00D23207"/>
    <w:rsid w:val="00D306F0"/>
    <w:rsid w:val="00D37BCD"/>
    <w:rsid w:val="00D45BFF"/>
    <w:rsid w:val="00D51E4E"/>
    <w:rsid w:val="00D55A9C"/>
    <w:rsid w:val="00D5617C"/>
    <w:rsid w:val="00D6143D"/>
    <w:rsid w:val="00D71972"/>
    <w:rsid w:val="00D855B2"/>
    <w:rsid w:val="00D86A31"/>
    <w:rsid w:val="00D92504"/>
    <w:rsid w:val="00D96955"/>
    <w:rsid w:val="00DB2D05"/>
    <w:rsid w:val="00DB60AA"/>
    <w:rsid w:val="00DC152D"/>
    <w:rsid w:val="00DD36DE"/>
    <w:rsid w:val="00DE2D18"/>
    <w:rsid w:val="00DE550C"/>
    <w:rsid w:val="00DE7372"/>
    <w:rsid w:val="00DE7CBE"/>
    <w:rsid w:val="00DF3CBC"/>
    <w:rsid w:val="00E02067"/>
    <w:rsid w:val="00E04D16"/>
    <w:rsid w:val="00E0701D"/>
    <w:rsid w:val="00E1065A"/>
    <w:rsid w:val="00E23747"/>
    <w:rsid w:val="00E26315"/>
    <w:rsid w:val="00E33695"/>
    <w:rsid w:val="00E34499"/>
    <w:rsid w:val="00E53ED2"/>
    <w:rsid w:val="00E63FD0"/>
    <w:rsid w:val="00E65284"/>
    <w:rsid w:val="00E730DB"/>
    <w:rsid w:val="00E73B0A"/>
    <w:rsid w:val="00E803FA"/>
    <w:rsid w:val="00E8193A"/>
    <w:rsid w:val="00E948A8"/>
    <w:rsid w:val="00EA4421"/>
    <w:rsid w:val="00EA70B0"/>
    <w:rsid w:val="00EB210D"/>
    <w:rsid w:val="00EB7C99"/>
    <w:rsid w:val="00EC0C9D"/>
    <w:rsid w:val="00EC14E6"/>
    <w:rsid w:val="00ED6286"/>
    <w:rsid w:val="00EE079E"/>
    <w:rsid w:val="00F02B3D"/>
    <w:rsid w:val="00F307E3"/>
    <w:rsid w:val="00F31293"/>
    <w:rsid w:val="00F338DD"/>
    <w:rsid w:val="00F429D3"/>
    <w:rsid w:val="00F438D3"/>
    <w:rsid w:val="00F612EC"/>
    <w:rsid w:val="00F6600A"/>
    <w:rsid w:val="00F6601B"/>
    <w:rsid w:val="00F703EF"/>
    <w:rsid w:val="00F7490B"/>
    <w:rsid w:val="00F7525F"/>
    <w:rsid w:val="00F94889"/>
    <w:rsid w:val="00F95B40"/>
    <w:rsid w:val="00FB76FC"/>
    <w:rsid w:val="00FC02E4"/>
    <w:rsid w:val="00FC4578"/>
    <w:rsid w:val="00FC5E7B"/>
    <w:rsid w:val="00FE1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889"/>
    <w:rPr>
      <w:rFonts w:ascii="Arial (W1)" w:hAnsi="Arial (W1)"/>
      <w:sz w:val="22"/>
      <w:szCs w:val="22"/>
    </w:rPr>
  </w:style>
  <w:style w:type="paragraph" w:styleId="Heading1">
    <w:name w:val="heading 1"/>
    <w:basedOn w:val="Normal"/>
    <w:next w:val="Normal"/>
    <w:qFormat/>
    <w:rsid w:val="00684963"/>
    <w:pPr>
      <w:keepNext/>
      <w:numPr>
        <w:numId w:val="4"/>
      </w:numPr>
      <w:spacing w:before="240" w:after="60"/>
      <w:outlineLvl w:val="0"/>
    </w:pPr>
    <w:rPr>
      <w:rFonts w:ascii="Arial" w:hAnsi="Arial"/>
      <w:b/>
      <w:bCs/>
      <w:kern w:val="32"/>
      <w:sz w:val="28"/>
      <w:szCs w:val="28"/>
    </w:rPr>
  </w:style>
  <w:style w:type="paragraph" w:styleId="Heading2">
    <w:name w:val="heading 2"/>
    <w:basedOn w:val="Normal"/>
    <w:next w:val="Normal"/>
    <w:qFormat/>
    <w:rsid w:val="00684963"/>
    <w:pPr>
      <w:keepNext/>
      <w:numPr>
        <w:ilvl w:val="1"/>
        <w:numId w:val="4"/>
      </w:numPr>
      <w:spacing w:before="240" w:after="60"/>
      <w:outlineLvl w:val="1"/>
    </w:pPr>
    <w:rPr>
      <w:rFonts w:ascii="Arial" w:hAnsi="Arial" w:cs="Arial"/>
      <w:b/>
      <w:bCs/>
      <w:i/>
      <w:iCs/>
      <w:sz w:val="24"/>
      <w:szCs w:val="28"/>
    </w:rPr>
  </w:style>
  <w:style w:type="paragraph" w:styleId="Heading3">
    <w:name w:val="heading 3"/>
    <w:basedOn w:val="Normal"/>
    <w:next w:val="Normal"/>
    <w:qFormat/>
    <w:rsid w:val="00684963"/>
    <w:pPr>
      <w:keepNext/>
      <w:numPr>
        <w:ilvl w:val="2"/>
        <w:numId w:val="4"/>
      </w:numPr>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2C15"/>
    <w:rPr>
      <w:color w:val="0000FF"/>
      <w:u w:val="single"/>
    </w:rPr>
  </w:style>
  <w:style w:type="paragraph" w:styleId="Header">
    <w:name w:val="header"/>
    <w:basedOn w:val="Normal"/>
    <w:rsid w:val="0087763A"/>
    <w:pPr>
      <w:tabs>
        <w:tab w:val="center" w:pos="4153"/>
        <w:tab w:val="right" w:pos="8306"/>
      </w:tabs>
    </w:pPr>
  </w:style>
  <w:style w:type="paragraph" w:styleId="Footer">
    <w:name w:val="footer"/>
    <w:basedOn w:val="Normal"/>
    <w:rsid w:val="0087763A"/>
    <w:pPr>
      <w:tabs>
        <w:tab w:val="center" w:pos="4153"/>
        <w:tab w:val="right" w:pos="8306"/>
      </w:tabs>
    </w:pPr>
  </w:style>
  <w:style w:type="character" w:customStyle="1" w:styleId="CharSectno">
    <w:name w:val="CharSectno"/>
    <w:basedOn w:val="DefaultParagraphFont"/>
    <w:rsid w:val="00E33695"/>
  </w:style>
  <w:style w:type="paragraph" w:customStyle="1" w:styleId="paragraph">
    <w:name w:val="paragraph"/>
    <w:aliases w:val="a"/>
    <w:rsid w:val="00E33695"/>
    <w:pPr>
      <w:tabs>
        <w:tab w:val="right" w:pos="1531"/>
      </w:tabs>
      <w:spacing w:before="40"/>
      <w:ind w:left="1644" w:hanging="1644"/>
    </w:pPr>
    <w:rPr>
      <w:sz w:val="22"/>
      <w:szCs w:val="24"/>
    </w:rPr>
  </w:style>
  <w:style w:type="paragraph" w:customStyle="1" w:styleId="paragraphsub">
    <w:name w:val="paragraph(sub)"/>
    <w:aliases w:val="aa"/>
    <w:basedOn w:val="paragraph"/>
    <w:rsid w:val="00E33695"/>
    <w:pPr>
      <w:tabs>
        <w:tab w:val="clear" w:pos="1531"/>
        <w:tab w:val="right" w:pos="1985"/>
      </w:tabs>
      <w:ind w:left="2098" w:hanging="2098"/>
    </w:pPr>
  </w:style>
  <w:style w:type="paragraph" w:customStyle="1" w:styleId="subsection">
    <w:name w:val="subsection"/>
    <w:aliases w:val="ss"/>
    <w:rsid w:val="00E33695"/>
    <w:pPr>
      <w:tabs>
        <w:tab w:val="right" w:pos="1021"/>
      </w:tabs>
      <w:spacing w:before="180"/>
      <w:ind w:left="1134" w:hanging="1134"/>
    </w:pPr>
    <w:rPr>
      <w:sz w:val="22"/>
      <w:szCs w:val="24"/>
    </w:rPr>
  </w:style>
  <w:style w:type="paragraph" w:customStyle="1" w:styleId="subsection2">
    <w:name w:val="subsection2"/>
    <w:aliases w:val="ss2"/>
    <w:basedOn w:val="subsection"/>
    <w:next w:val="subsection"/>
    <w:rsid w:val="00E33695"/>
    <w:pPr>
      <w:tabs>
        <w:tab w:val="clear" w:pos="1021"/>
      </w:tabs>
      <w:spacing w:before="40"/>
      <w:ind w:firstLine="0"/>
    </w:pPr>
  </w:style>
  <w:style w:type="paragraph" w:customStyle="1" w:styleId="ActHead5">
    <w:name w:val="ActHead 5"/>
    <w:aliases w:val="s"/>
    <w:basedOn w:val="Normal"/>
    <w:next w:val="Normal"/>
    <w:rsid w:val="00E33695"/>
    <w:pPr>
      <w:keepNext/>
      <w:keepLines/>
      <w:spacing w:before="280"/>
      <w:ind w:left="1134" w:hanging="1134"/>
      <w:outlineLvl w:val="4"/>
    </w:pPr>
    <w:rPr>
      <w:rFonts w:ascii="Times New Roman" w:hAnsi="Times New Roman"/>
      <w:b/>
      <w:bCs/>
      <w:kern w:val="28"/>
      <w:sz w:val="24"/>
      <w:szCs w:val="32"/>
    </w:rPr>
  </w:style>
  <w:style w:type="paragraph" w:styleId="BalloonText">
    <w:name w:val="Balloon Text"/>
    <w:basedOn w:val="Normal"/>
    <w:semiHidden/>
    <w:rsid w:val="005512E0"/>
    <w:rPr>
      <w:rFonts w:ascii="Tahoma" w:hAnsi="Tahoma" w:cs="Tahoma"/>
      <w:sz w:val="16"/>
      <w:szCs w:val="16"/>
    </w:rPr>
  </w:style>
  <w:style w:type="paragraph" w:customStyle="1" w:styleId="notetext">
    <w:name w:val="note(text)"/>
    <w:aliases w:val="n"/>
    <w:rsid w:val="00097501"/>
    <w:pPr>
      <w:spacing w:before="122" w:line="198" w:lineRule="exact"/>
      <w:ind w:left="1985" w:hanging="851"/>
    </w:pPr>
    <w:rPr>
      <w:sz w:val="18"/>
      <w:szCs w:val="24"/>
    </w:rPr>
  </w:style>
  <w:style w:type="paragraph" w:customStyle="1" w:styleId="SubsectionHead">
    <w:name w:val="SubsectionHead"/>
    <w:aliases w:val="ssh"/>
    <w:basedOn w:val="subsection"/>
    <w:next w:val="subsection"/>
    <w:rsid w:val="00097501"/>
    <w:pPr>
      <w:keepNext/>
      <w:keepLines/>
      <w:tabs>
        <w:tab w:val="clear" w:pos="1021"/>
      </w:tabs>
      <w:spacing w:before="240"/>
      <w:ind w:firstLine="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889"/>
    <w:rPr>
      <w:rFonts w:ascii="Arial (W1)" w:hAnsi="Arial (W1)"/>
      <w:sz w:val="22"/>
      <w:szCs w:val="22"/>
    </w:rPr>
  </w:style>
  <w:style w:type="paragraph" w:styleId="Heading1">
    <w:name w:val="heading 1"/>
    <w:basedOn w:val="Normal"/>
    <w:next w:val="Normal"/>
    <w:qFormat/>
    <w:rsid w:val="00684963"/>
    <w:pPr>
      <w:keepNext/>
      <w:numPr>
        <w:numId w:val="4"/>
      </w:numPr>
      <w:spacing w:before="240" w:after="60"/>
      <w:outlineLvl w:val="0"/>
    </w:pPr>
    <w:rPr>
      <w:rFonts w:ascii="Arial" w:hAnsi="Arial"/>
      <w:b/>
      <w:bCs/>
      <w:kern w:val="32"/>
      <w:sz w:val="28"/>
      <w:szCs w:val="28"/>
    </w:rPr>
  </w:style>
  <w:style w:type="paragraph" w:styleId="Heading2">
    <w:name w:val="heading 2"/>
    <w:basedOn w:val="Normal"/>
    <w:next w:val="Normal"/>
    <w:qFormat/>
    <w:rsid w:val="00684963"/>
    <w:pPr>
      <w:keepNext/>
      <w:numPr>
        <w:ilvl w:val="1"/>
        <w:numId w:val="4"/>
      </w:numPr>
      <w:spacing w:before="240" w:after="60"/>
      <w:outlineLvl w:val="1"/>
    </w:pPr>
    <w:rPr>
      <w:rFonts w:ascii="Arial" w:hAnsi="Arial" w:cs="Arial"/>
      <w:b/>
      <w:bCs/>
      <w:i/>
      <w:iCs/>
      <w:sz w:val="24"/>
      <w:szCs w:val="28"/>
    </w:rPr>
  </w:style>
  <w:style w:type="paragraph" w:styleId="Heading3">
    <w:name w:val="heading 3"/>
    <w:basedOn w:val="Normal"/>
    <w:next w:val="Normal"/>
    <w:qFormat/>
    <w:rsid w:val="00684963"/>
    <w:pPr>
      <w:keepNext/>
      <w:numPr>
        <w:ilvl w:val="2"/>
        <w:numId w:val="4"/>
      </w:numPr>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2C15"/>
    <w:rPr>
      <w:color w:val="0000FF"/>
      <w:u w:val="single"/>
    </w:rPr>
  </w:style>
  <w:style w:type="paragraph" w:styleId="Header">
    <w:name w:val="header"/>
    <w:basedOn w:val="Normal"/>
    <w:rsid w:val="0087763A"/>
    <w:pPr>
      <w:tabs>
        <w:tab w:val="center" w:pos="4153"/>
        <w:tab w:val="right" w:pos="8306"/>
      </w:tabs>
    </w:pPr>
  </w:style>
  <w:style w:type="paragraph" w:styleId="Footer">
    <w:name w:val="footer"/>
    <w:basedOn w:val="Normal"/>
    <w:rsid w:val="0087763A"/>
    <w:pPr>
      <w:tabs>
        <w:tab w:val="center" w:pos="4153"/>
        <w:tab w:val="right" w:pos="8306"/>
      </w:tabs>
    </w:pPr>
  </w:style>
  <w:style w:type="character" w:customStyle="1" w:styleId="CharSectno">
    <w:name w:val="CharSectno"/>
    <w:basedOn w:val="DefaultParagraphFont"/>
    <w:rsid w:val="00E33695"/>
  </w:style>
  <w:style w:type="paragraph" w:customStyle="1" w:styleId="paragraph">
    <w:name w:val="paragraph"/>
    <w:aliases w:val="a"/>
    <w:rsid w:val="00E33695"/>
    <w:pPr>
      <w:tabs>
        <w:tab w:val="right" w:pos="1531"/>
      </w:tabs>
      <w:spacing w:before="40"/>
      <w:ind w:left="1644" w:hanging="1644"/>
    </w:pPr>
    <w:rPr>
      <w:sz w:val="22"/>
      <w:szCs w:val="24"/>
    </w:rPr>
  </w:style>
  <w:style w:type="paragraph" w:customStyle="1" w:styleId="paragraphsub">
    <w:name w:val="paragraph(sub)"/>
    <w:aliases w:val="aa"/>
    <w:basedOn w:val="paragraph"/>
    <w:rsid w:val="00E33695"/>
    <w:pPr>
      <w:tabs>
        <w:tab w:val="clear" w:pos="1531"/>
        <w:tab w:val="right" w:pos="1985"/>
      </w:tabs>
      <w:ind w:left="2098" w:hanging="2098"/>
    </w:pPr>
  </w:style>
  <w:style w:type="paragraph" w:customStyle="1" w:styleId="subsection">
    <w:name w:val="subsection"/>
    <w:aliases w:val="ss"/>
    <w:rsid w:val="00E33695"/>
    <w:pPr>
      <w:tabs>
        <w:tab w:val="right" w:pos="1021"/>
      </w:tabs>
      <w:spacing w:before="180"/>
      <w:ind w:left="1134" w:hanging="1134"/>
    </w:pPr>
    <w:rPr>
      <w:sz w:val="22"/>
      <w:szCs w:val="24"/>
    </w:rPr>
  </w:style>
  <w:style w:type="paragraph" w:customStyle="1" w:styleId="subsection2">
    <w:name w:val="subsection2"/>
    <w:aliases w:val="ss2"/>
    <w:basedOn w:val="subsection"/>
    <w:next w:val="subsection"/>
    <w:rsid w:val="00E33695"/>
    <w:pPr>
      <w:tabs>
        <w:tab w:val="clear" w:pos="1021"/>
      </w:tabs>
      <w:spacing w:before="40"/>
      <w:ind w:firstLine="0"/>
    </w:pPr>
  </w:style>
  <w:style w:type="paragraph" w:customStyle="1" w:styleId="ActHead5">
    <w:name w:val="ActHead 5"/>
    <w:aliases w:val="s"/>
    <w:basedOn w:val="Normal"/>
    <w:next w:val="Normal"/>
    <w:rsid w:val="00E33695"/>
    <w:pPr>
      <w:keepNext/>
      <w:keepLines/>
      <w:spacing w:before="280"/>
      <w:ind w:left="1134" w:hanging="1134"/>
      <w:outlineLvl w:val="4"/>
    </w:pPr>
    <w:rPr>
      <w:rFonts w:ascii="Times New Roman" w:hAnsi="Times New Roman"/>
      <w:b/>
      <w:bCs/>
      <w:kern w:val="28"/>
      <w:sz w:val="24"/>
      <w:szCs w:val="32"/>
    </w:rPr>
  </w:style>
  <w:style w:type="paragraph" w:styleId="BalloonText">
    <w:name w:val="Balloon Text"/>
    <w:basedOn w:val="Normal"/>
    <w:semiHidden/>
    <w:rsid w:val="005512E0"/>
    <w:rPr>
      <w:rFonts w:ascii="Tahoma" w:hAnsi="Tahoma" w:cs="Tahoma"/>
      <w:sz w:val="16"/>
      <w:szCs w:val="16"/>
    </w:rPr>
  </w:style>
  <w:style w:type="paragraph" w:customStyle="1" w:styleId="notetext">
    <w:name w:val="note(text)"/>
    <w:aliases w:val="n"/>
    <w:rsid w:val="00097501"/>
    <w:pPr>
      <w:spacing w:before="122" w:line="198" w:lineRule="exact"/>
      <w:ind w:left="1985" w:hanging="851"/>
    </w:pPr>
    <w:rPr>
      <w:sz w:val="18"/>
      <w:szCs w:val="24"/>
    </w:rPr>
  </w:style>
  <w:style w:type="paragraph" w:customStyle="1" w:styleId="SubsectionHead">
    <w:name w:val="SubsectionHead"/>
    <w:aliases w:val="ssh"/>
    <w:basedOn w:val="subsection"/>
    <w:next w:val="subsection"/>
    <w:rsid w:val="00097501"/>
    <w:pPr>
      <w:keepNext/>
      <w:keepLines/>
      <w:tabs>
        <w:tab w:val="clear" w:pos="1021"/>
      </w:tabs>
      <w:spacing w:before="240"/>
      <w:ind w:firstLine="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foi+request-1498-2465996d@righttoknow.org.au" TargetMode="External"/><Relationship Id="rId4" Type="http://schemas.openxmlformats.org/officeDocument/2006/relationships/settings" Target="settings.xml"/><Relationship Id="rId9" Type="http://schemas.openxmlformats.org/officeDocument/2006/relationships/hyperlink" Target="http://www.afp.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fpforms97\Admin\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13</TotalTime>
  <Pages>4</Pages>
  <Words>1354</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8337</CharactersWithSpaces>
  <SharedDoc>false</SharedDoc>
  <HLinks>
    <vt:vector size="12" baseType="variant">
      <vt:variant>
        <vt:i4>6619180</vt:i4>
      </vt:variant>
      <vt:variant>
        <vt:i4>3</vt:i4>
      </vt:variant>
      <vt:variant>
        <vt:i4>0</vt:i4>
      </vt:variant>
      <vt:variant>
        <vt:i4>5</vt:i4>
      </vt:variant>
      <vt:variant>
        <vt:lpwstr>http://www.afp.gov.au/</vt:lpwstr>
      </vt:variant>
      <vt:variant>
        <vt:lpwstr/>
      </vt:variant>
      <vt:variant>
        <vt:i4>4522023</vt:i4>
      </vt:variant>
      <vt:variant>
        <vt:i4>0</vt:i4>
      </vt:variant>
      <vt:variant>
        <vt:i4>0</vt:i4>
      </vt:variant>
      <vt:variant>
        <vt:i4>5</vt:i4>
      </vt:variant>
      <vt:variant>
        <vt:lpwstr>mailto:FreedomOfInformation@afp.gov.au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afp12316</dc:creator>
  <cp:lastModifiedBy>AFP14692</cp:lastModifiedBy>
  <cp:revision>4</cp:revision>
  <cp:lastPrinted>2012-12-17T02:44:00Z</cp:lastPrinted>
  <dcterms:created xsi:type="dcterms:W3CDTF">2016-01-22T00:48:00Z</dcterms:created>
  <dcterms:modified xsi:type="dcterms:W3CDTF">2016-01-22T01:01:00Z</dcterms:modified>
</cp:coreProperties>
</file>