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EE63" w14:textId="74BD77CA" w:rsidR="00293DCC" w:rsidRDefault="00293DCC">
      <w:pPr>
        <w:rPr>
          <w:rFonts w:ascii="Arial" w:hAnsi="Arial" w:cs="Arial"/>
        </w:rPr>
      </w:pPr>
    </w:p>
    <w:p w14:paraId="07299E04" w14:textId="629FB57A" w:rsidR="00293DCC" w:rsidRDefault="00293DCC" w:rsidP="00293D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Attachment A</w:t>
      </w:r>
    </w:p>
    <w:p w14:paraId="5C273F3D" w14:textId="77777777" w:rsidR="00293DCC" w:rsidRPr="00F926F9" w:rsidRDefault="00293DCC" w:rsidP="00293D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F926F9">
        <w:rPr>
          <w:rFonts w:ascii="Arial" w:hAnsi="Arial" w:cs="Arial"/>
          <w:b/>
          <w:u w:val="single"/>
        </w:rPr>
        <w:t>Cronbach</w:t>
      </w:r>
      <w:proofErr w:type="spellEnd"/>
      <w:r w:rsidRPr="00F926F9">
        <w:rPr>
          <w:rFonts w:ascii="Arial" w:hAnsi="Arial" w:cs="Arial"/>
          <w:b/>
          <w:u w:val="single"/>
        </w:rPr>
        <w:t xml:space="preserve"> alpha formula and reliabilities – NAPLAN 2008 – 2012</w:t>
      </w:r>
    </w:p>
    <w:p w14:paraId="68B1E0B3" w14:textId="77777777" w:rsidR="00293DCC" w:rsidRPr="005500A0" w:rsidRDefault="00293DCC" w:rsidP="00293D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500A0">
        <w:rPr>
          <w:rFonts w:ascii="Arial" w:hAnsi="Arial" w:cs="Arial"/>
          <w:b/>
          <w:u w:val="single"/>
        </w:rPr>
        <w:t>Date: 28 June 2013</w:t>
      </w:r>
    </w:p>
    <w:p w14:paraId="6A4038AE" w14:textId="77777777" w:rsidR="00293DCC" w:rsidRDefault="00293DCC" w:rsidP="00293DCC">
      <w:pPr>
        <w:spacing w:after="0" w:line="240" w:lineRule="auto"/>
        <w:rPr>
          <w:rFonts w:ascii="Arial" w:hAnsi="Arial" w:cs="Arial"/>
          <w:b/>
          <w:u w:val="single"/>
        </w:rPr>
      </w:pPr>
    </w:p>
    <w:p w14:paraId="0B060F31" w14:textId="77777777" w:rsidR="00293DCC" w:rsidRPr="007C3898" w:rsidRDefault="00293DCC" w:rsidP="00293DCC">
      <w:pPr>
        <w:spacing w:after="0" w:line="240" w:lineRule="auto"/>
        <w:rPr>
          <w:rFonts w:ascii="Arial" w:hAnsi="Arial" w:cs="Arial"/>
          <w:b/>
          <w:u w:val="single"/>
        </w:rPr>
      </w:pPr>
      <w:r w:rsidRPr="007C3898">
        <w:rPr>
          <w:rFonts w:ascii="Arial" w:hAnsi="Arial" w:cs="Arial"/>
          <w:b/>
          <w:u w:val="single"/>
        </w:rPr>
        <w:t>Formula</w:t>
      </w:r>
    </w:p>
    <w:p w14:paraId="02818E51" w14:textId="77777777" w:rsidR="00293DCC" w:rsidRDefault="00293DCC" w:rsidP="00293DCC">
      <w:pPr>
        <w:spacing w:after="0" w:line="240" w:lineRule="auto"/>
        <w:rPr>
          <w:rFonts w:ascii="Arial" w:hAnsi="Arial" w:cs="Arial"/>
        </w:rPr>
      </w:pPr>
      <w:r w:rsidRPr="007C3898">
        <w:rPr>
          <w:rFonts w:ascii="Arial" w:hAnsi="Arial" w:cs="Arial"/>
        </w:rPr>
        <w:t>The for</w:t>
      </w:r>
      <w:r>
        <w:rPr>
          <w:rFonts w:ascii="Arial" w:hAnsi="Arial" w:cs="Arial"/>
        </w:rPr>
        <w:t xml:space="preserve">mula for computing the NAPLAN </w:t>
      </w:r>
      <w:r w:rsidRPr="007C3898">
        <w:rPr>
          <w:rFonts w:ascii="Arial" w:hAnsi="Arial" w:cs="Arial"/>
        </w:rPr>
        <w:t xml:space="preserve">reliability is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Cronbach’s</w:t>
      </w:r>
      <w:proofErr w:type="spellEnd"/>
      <w:r>
        <w:rPr>
          <w:rFonts w:ascii="Arial" w:hAnsi="Arial" w:cs="Arial"/>
        </w:rPr>
        <w:t xml:space="preserve"> Coefficient Alpha.</w:t>
      </w:r>
    </w:p>
    <w:p w14:paraId="3F3D5FCA" w14:textId="77777777" w:rsidR="00293DCC" w:rsidRDefault="00293DCC" w:rsidP="00293DCC">
      <w:pPr>
        <w:spacing w:after="0" w:line="240" w:lineRule="auto"/>
        <w:rPr>
          <w:rFonts w:ascii="Arial" w:hAnsi="Arial" w:cs="Arial"/>
        </w:rPr>
      </w:pPr>
    </w:p>
    <w:p w14:paraId="3090A23A" w14:textId="77777777" w:rsidR="00293DCC" w:rsidRPr="007C3898" w:rsidRDefault="00293DCC" w:rsidP="00293DCC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7C3898">
        <w:rPr>
          <w:rFonts w:ascii="Arial" w:hAnsi="Arial" w:cs="Arial"/>
          <w:b/>
          <w:u w:val="single"/>
        </w:rPr>
        <w:t>Cronbach</w:t>
      </w:r>
      <w:proofErr w:type="spellEnd"/>
      <w:r w:rsidRPr="007C3898">
        <w:rPr>
          <w:rFonts w:ascii="Arial" w:hAnsi="Arial" w:cs="Arial"/>
          <w:b/>
          <w:u w:val="single"/>
        </w:rPr>
        <w:t xml:space="preserve"> a</w:t>
      </w:r>
      <w:r>
        <w:rPr>
          <w:rFonts w:ascii="Arial" w:hAnsi="Arial" w:cs="Arial"/>
          <w:b/>
          <w:u w:val="single"/>
        </w:rPr>
        <w:t>lpha reliabilities – NAPLAN 2008</w:t>
      </w:r>
      <w:r w:rsidRPr="007C3898">
        <w:rPr>
          <w:rFonts w:ascii="Arial" w:hAnsi="Arial" w:cs="Arial"/>
          <w:b/>
          <w:u w:val="single"/>
        </w:rPr>
        <w:t xml:space="preserve"> – 2012</w:t>
      </w:r>
    </w:p>
    <w:p w14:paraId="37AC4D62" w14:textId="77777777" w:rsidR="00293DCC" w:rsidRDefault="00293DCC" w:rsidP="00293D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relation to NAPLAN 2008 - 2012, t</w:t>
      </w:r>
      <w:r w:rsidRPr="007C3898">
        <w:rPr>
          <w:rFonts w:ascii="Arial" w:hAnsi="Arial" w:cs="Arial"/>
        </w:rPr>
        <w:t xml:space="preserve">he table </w:t>
      </w:r>
      <w:r>
        <w:rPr>
          <w:rFonts w:ascii="Arial" w:hAnsi="Arial" w:cs="Arial"/>
        </w:rPr>
        <w:t>below provides</w:t>
      </w:r>
      <w:r w:rsidRPr="007C3898">
        <w:rPr>
          <w:rFonts w:ascii="Arial" w:hAnsi="Arial" w:cs="Arial"/>
        </w:rPr>
        <w:t xml:space="preserve"> the </w:t>
      </w:r>
      <w:proofErr w:type="spellStart"/>
      <w:r w:rsidRPr="007C3898">
        <w:rPr>
          <w:rFonts w:ascii="Arial" w:hAnsi="Arial" w:cs="Arial"/>
        </w:rPr>
        <w:t>Cronbach</w:t>
      </w:r>
      <w:proofErr w:type="spellEnd"/>
      <w:r w:rsidRPr="007C3898">
        <w:rPr>
          <w:rFonts w:ascii="Arial" w:hAnsi="Arial" w:cs="Arial"/>
        </w:rPr>
        <w:t xml:space="preserve"> alpha reliabilities of each test. Note that the alpha coefficient for Writing is computed using pooled data from all grades.</w:t>
      </w:r>
    </w:p>
    <w:p w14:paraId="682178EC" w14:textId="77777777" w:rsidR="00293DCC" w:rsidRDefault="00293DCC" w:rsidP="00293DCC">
      <w:pPr>
        <w:spacing w:after="0" w:line="240" w:lineRule="auto"/>
        <w:rPr>
          <w:rFonts w:ascii="Arial" w:hAnsi="Arial" w:cs="Arial"/>
        </w:rPr>
      </w:pPr>
    </w:p>
    <w:p w14:paraId="629CB669" w14:textId="77777777" w:rsidR="00293DCC" w:rsidRPr="00BD6119" w:rsidRDefault="00293DCC" w:rsidP="00293DCC">
      <w:pPr>
        <w:spacing w:after="0" w:line="240" w:lineRule="auto"/>
        <w:rPr>
          <w:rFonts w:ascii="Arial" w:hAnsi="Arial" w:cs="Arial"/>
        </w:rPr>
      </w:pPr>
    </w:p>
    <w:tbl>
      <w:tblPr>
        <w:tblW w:w="926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21"/>
        <w:gridCol w:w="1240"/>
        <w:gridCol w:w="1254"/>
        <w:gridCol w:w="1072"/>
        <w:gridCol w:w="1531"/>
        <w:gridCol w:w="2086"/>
      </w:tblGrid>
      <w:tr w:rsidR="00293DCC" w14:paraId="11A68F0F" w14:textId="77777777" w:rsidTr="00015DDF">
        <w:trPr>
          <w:trHeight w:val="806"/>
          <w:tblHeader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EB2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Calendar Year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DC7C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Year Level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460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Reading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6C1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Writing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828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Spelling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41B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Grammar and Punctuation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D65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CE5">
              <w:rPr>
                <w:rFonts w:ascii="Arial" w:hAnsi="Arial" w:cs="Arial"/>
                <w:b/>
                <w:bCs/>
                <w:color w:val="000000"/>
              </w:rPr>
              <w:t>Numeracy</w:t>
            </w:r>
          </w:p>
        </w:tc>
      </w:tr>
      <w:tr w:rsidR="00293DCC" w14:paraId="66724D78" w14:textId="77777777" w:rsidTr="00015DDF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FDA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2BDC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72C4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318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71028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3B6C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6FD5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93DCC" w14:paraId="22A047FC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2E463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0841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8C6F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6C72E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3FF7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B295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E4E5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293DCC" w14:paraId="4DE327F4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642FE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5102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323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6284C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D92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B9C9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0428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293DCC" w14:paraId="001B924D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90A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19F9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4AEE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703ED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E686C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8E27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79A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293DCC" w14:paraId="6314B891" w14:textId="77777777" w:rsidTr="00015DDF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41E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5220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6FFA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310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7124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55E54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06DE4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293DCC" w14:paraId="6F83A79A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96C84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4D59F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4348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F7A41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1E25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4C51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A315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93DCC" w14:paraId="178CFFFB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1A659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7714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1C5E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1F43B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32F9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5512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71FD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293DCC" w14:paraId="6B85C215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4EC3F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D8DF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AE6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A01D4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4F13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6A49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3E5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293DCC" w14:paraId="24EAF01B" w14:textId="77777777" w:rsidTr="00015DDF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931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ED61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8DA9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EA2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5CA1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C27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25CB1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293DCC" w14:paraId="1656EA51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A14BF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D48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8238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7957C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E8CA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72EB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753C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93DCC" w14:paraId="151736A1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7EF28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EA12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A3EC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6FC7D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0F0B1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EB9B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7F60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293DCC" w14:paraId="52A645AD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7732A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9E05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0010F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570BE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3101F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E7311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12C1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</w:tr>
      <w:tr w:rsidR="00293DCC" w14:paraId="2E11B5CD" w14:textId="77777777" w:rsidTr="00015DDF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E25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67A3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C928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6ED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EABC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116A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EEF5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93DCC" w14:paraId="593EE3C4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84C57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5A1C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8EED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7192C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AF9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5D7F8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B343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93DCC" w14:paraId="20A62E65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4C279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587D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9A59E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355B3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697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94E2C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8CF5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293DCC" w14:paraId="5872AEA6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959C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E4F0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977D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809FE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0B73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7FAC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C0FB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0.94</w:t>
            </w:r>
          </w:p>
        </w:tc>
      </w:tr>
      <w:tr w:rsidR="00293DCC" w14:paraId="4FB9D4A4" w14:textId="77777777" w:rsidTr="00015DDF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FCB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67764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EE88F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7664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6ACE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3D3D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2A251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293DCC" w14:paraId="241DF2A3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F81E7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4B16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898D5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F75F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DE91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4726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47DE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293DCC" w14:paraId="57D3432E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21F26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1B6AC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98B0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6406A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202F1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7A8A0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CCA2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293DCC" w14:paraId="12A54B23" w14:textId="77777777" w:rsidTr="00015DDF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52AD4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8EF2A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C0A87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CC8F1" w14:textId="77777777" w:rsidR="00293DCC" w:rsidRPr="00A03CE5" w:rsidRDefault="00293DCC" w:rsidP="00015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58E9B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CADF9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DEE2" w14:textId="77777777" w:rsidR="00293DCC" w:rsidRPr="00A03CE5" w:rsidRDefault="00293DCC" w:rsidP="00015DDF">
            <w:pPr>
              <w:jc w:val="center"/>
              <w:rPr>
                <w:rFonts w:ascii="Arial" w:hAnsi="Arial" w:cs="Arial"/>
                <w:color w:val="000000"/>
              </w:rPr>
            </w:pPr>
            <w:r w:rsidRPr="00A03CE5">
              <w:rPr>
                <w:rFonts w:ascii="Arial" w:hAnsi="Arial" w:cs="Arial"/>
                <w:color w:val="000000"/>
              </w:rPr>
              <w:t>0.94</w:t>
            </w:r>
          </w:p>
        </w:tc>
      </w:tr>
    </w:tbl>
    <w:p w14:paraId="4CD398F9" w14:textId="23A96B15" w:rsidR="00293DCC" w:rsidRDefault="00293DCC">
      <w:pPr>
        <w:rPr>
          <w:rFonts w:ascii="Arial" w:hAnsi="Arial" w:cs="Arial"/>
        </w:rPr>
      </w:pPr>
      <w:bookmarkStart w:id="0" w:name="_GoBack"/>
      <w:bookmarkEnd w:id="0"/>
    </w:p>
    <w:p w14:paraId="2401E1BD" w14:textId="597DA632" w:rsidR="00293DCC" w:rsidRPr="0060445C" w:rsidRDefault="00293DCC" w:rsidP="00293D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0445C">
        <w:rPr>
          <w:rFonts w:ascii="Arial" w:hAnsi="Arial" w:cs="Arial"/>
          <w:b/>
          <w:u w:val="single"/>
        </w:rPr>
        <w:t>Attachment B</w:t>
      </w:r>
    </w:p>
    <w:p w14:paraId="773DD005" w14:textId="77777777" w:rsidR="00293DCC" w:rsidRDefault="00293DCC" w:rsidP="0006761E">
      <w:pPr>
        <w:spacing w:after="0" w:line="240" w:lineRule="auto"/>
        <w:rPr>
          <w:rFonts w:ascii="Arial" w:hAnsi="Arial" w:cs="Arial"/>
        </w:rPr>
      </w:pPr>
    </w:p>
    <w:p w14:paraId="217C016E" w14:textId="4C6BC1E0" w:rsidR="00390AC9" w:rsidRDefault="0042055F" w:rsidP="000676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B081A">
        <w:rPr>
          <w:rFonts w:ascii="Arial" w:hAnsi="Arial" w:cs="Arial"/>
        </w:rPr>
        <w:t xml:space="preserve"> provide the following comment</w:t>
      </w:r>
      <w:r w:rsidR="00AA008E">
        <w:rPr>
          <w:rFonts w:ascii="Arial" w:hAnsi="Arial" w:cs="Arial"/>
        </w:rPr>
        <w:t xml:space="preserve">s regarding the </w:t>
      </w:r>
      <w:r>
        <w:rPr>
          <w:rFonts w:ascii="Arial" w:hAnsi="Arial" w:cs="Arial"/>
        </w:rPr>
        <w:t>historic l</w:t>
      </w:r>
      <w:r w:rsidR="00AA008E">
        <w:rPr>
          <w:rFonts w:ascii="Arial" w:hAnsi="Arial" w:cs="Arial"/>
        </w:rPr>
        <w:t>is</w:t>
      </w:r>
      <w:r>
        <w:rPr>
          <w:rFonts w:ascii="Arial" w:hAnsi="Arial" w:cs="Arial"/>
        </w:rPr>
        <w:t>t of s</w:t>
      </w:r>
      <w:r w:rsidR="00AA008E">
        <w:rPr>
          <w:rFonts w:ascii="Arial" w:hAnsi="Arial" w:cs="Arial"/>
        </w:rPr>
        <w:t>chools</w:t>
      </w:r>
      <w:r w:rsidR="00AB081A">
        <w:rPr>
          <w:rFonts w:ascii="Arial" w:hAnsi="Arial" w:cs="Arial"/>
        </w:rPr>
        <w:t>:</w:t>
      </w:r>
    </w:p>
    <w:p w14:paraId="2D4FA3AA" w14:textId="77777777" w:rsidR="00AB081A" w:rsidRDefault="00AB081A" w:rsidP="0006761E">
      <w:pPr>
        <w:spacing w:after="0" w:line="240" w:lineRule="auto"/>
        <w:rPr>
          <w:rFonts w:ascii="Arial" w:hAnsi="Arial" w:cs="Arial"/>
        </w:rPr>
      </w:pPr>
    </w:p>
    <w:p w14:paraId="65701730" w14:textId="3115924D" w:rsidR="00D747FB" w:rsidRDefault="00105FCD" w:rsidP="0045250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list of s</w:t>
      </w:r>
      <w:r w:rsidR="00D747FB">
        <w:rPr>
          <w:rFonts w:ascii="Arial" w:hAnsi="Arial" w:cs="Arial"/>
        </w:rPr>
        <w:t>chools comprises the following fields:</w:t>
      </w:r>
    </w:p>
    <w:p w14:paraId="18367C15" w14:textId="1867057C" w:rsidR="00D747FB" w:rsidRDefault="00D747FB" w:rsidP="00D747FB">
      <w:pPr>
        <w:pStyle w:val="ListParagraph"/>
        <w:numPr>
          <w:ilvl w:val="0"/>
          <w:numId w:val="5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School name;</w:t>
      </w:r>
    </w:p>
    <w:p w14:paraId="73658332" w14:textId="0E5FE8BB" w:rsidR="00D747FB" w:rsidRDefault="00D747FB" w:rsidP="00D747FB">
      <w:pPr>
        <w:pStyle w:val="ListParagraph"/>
        <w:numPr>
          <w:ilvl w:val="0"/>
          <w:numId w:val="5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Suburb;</w:t>
      </w:r>
    </w:p>
    <w:p w14:paraId="434A2450" w14:textId="36EF886B" w:rsidR="00D747FB" w:rsidRDefault="00D747FB" w:rsidP="00D747FB">
      <w:pPr>
        <w:pStyle w:val="ListParagraph"/>
        <w:numPr>
          <w:ilvl w:val="0"/>
          <w:numId w:val="5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Postcode;</w:t>
      </w:r>
    </w:p>
    <w:p w14:paraId="10701558" w14:textId="2C4DA097" w:rsidR="00D747FB" w:rsidRDefault="00D747FB" w:rsidP="00D747FB">
      <w:pPr>
        <w:pStyle w:val="ListParagraph"/>
        <w:numPr>
          <w:ilvl w:val="0"/>
          <w:numId w:val="5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State/Territory; and</w:t>
      </w:r>
    </w:p>
    <w:p w14:paraId="0E959E8F" w14:textId="0A4F2D96" w:rsidR="00584AB3" w:rsidRDefault="00D747FB" w:rsidP="00584AB3">
      <w:pPr>
        <w:pStyle w:val="ListParagraph"/>
        <w:numPr>
          <w:ilvl w:val="0"/>
          <w:numId w:val="5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School type.</w:t>
      </w:r>
    </w:p>
    <w:p w14:paraId="239A5191" w14:textId="77777777" w:rsidR="00105FCD" w:rsidRPr="00105FCD" w:rsidRDefault="00105FCD" w:rsidP="00105FCD">
      <w:pPr>
        <w:spacing w:after="0" w:line="240" w:lineRule="auto"/>
        <w:ind w:left="567"/>
        <w:rPr>
          <w:rFonts w:ascii="Arial" w:hAnsi="Arial" w:cs="Arial"/>
        </w:rPr>
      </w:pPr>
    </w:p>
    <w:p w14:paraId="1A94980E" w14:textId="17A4EBC0" w:rsidR="00584AB3" w:rsidRDefault="00584AB3" w:rsidP="0045250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05FCD">
        <w:rPr>
          <w:rFonts w:ascii="Arial" w:hAnsi="Arial" w:cs="Arial"/>
        </w:rPr>
        <w:t>he list of s</w:t>
      </w:r>
      <w:r>
        <w:rPr>
          <w:rFonts w:ascii="Arial" w:hAnsi="Arial" w:cs="Arial"/>
        </w:rPr>
        <w:t xml:space="preserve">chools contains </w:t>
      </w:r>
      <w:r w:rsidRPr="00726C76">
        <w:rPr>
          <w:rFonts w:ascii="Arial" w:hAnsi="Arial" w:cs="Arial"/>
          <w:b/>
        </w:rPr>
        <w:t xml:space="preserve">more </w:t>
      </w:r>
      <w:r>
        <w:rPr>
          <w:rFonts w:ascii="Arial" w:hAnsi="Arial" w:cs="Arial"/>
        </w:rPr>
        <w:t>information than is required to be provided u</w:t>
      </w:r>
      <w:r w:rsidR="00AA7E6E">
        <w:rPr>
          <w:rFonts w:ascii="Arial" w:hAnsi="Arial" w:cs="Arial"/>
        </w:rPr>
        <w:t xml:space="preserve">nder the terms of the </w:t>
      </w:r>
      <w:r w:rsidR="00105FCD">
        <w:rPr>
          <w:rFonts w:ascii="Arial" w:hAnsi="Arial" w:cs="Arial"/>
        </w:rPr>
        <w:t>d</w:t>
      </w:r>
      <w:r w:rsidR="00AA7E6E">
        <w:rPr>
          <w:rFonts w:ascii="Arial" w:hAnsi="Arial" w:cs="Arial"/>
        </w:rPr>
        <w:t xml:space="preserve">ecision </w:t>
      </w:r>
      <w:r w:rsidR="00105FCD">
        <w:rPr>
          <w:rFonts w:ascii="Arial" w:hAnsi="Arial" w:cs="Arial"/>
        </w:rPr>
        <w:t xml:space="preserve">by the Freedom of Information Commissioner, Dr James </w:t>
      </w:r>
      <w:proofErr w:type="spellStart"/>
      <w:r w:rsidR="00105FCD">
        <w:rPr>
          <w:rFonts w:ascii="Arial" w:hAnsi="Arial" w:cs="Arial"/>
        </w:rPr>
        <w:t>Popple</w:t>
      </w:r>
      <w:proofErr w:type="spellEnd"/>
      <w:r w:rsidR="00105FCD">
        <w:rPr>
          <w:rFonts w:ascii="Arial" w:hAnsi="Arial" w:cs="Arial"/>
        </w:rPr>
        <w:t xml:space="preserve"> in </w:t>
      </w:r>
      <w:r w:rsidR="00105FCD" w:rsidRPr="00105FCD">
        <w:rPr>
          <w:rFonts w:ascii="Arial" w:hAnsi="Arial" w:cs="Arial"/>
          <w:u w:val="single"/>
        </w:rPr>
        <w:t>Diamond and Australian Curriculum, Assessment and Reporting Authority</w:t>
      </w:r>
      <w:r w:rsidR="00105FCD">
        <w:rPr>
          <w:rFonts w:ascii="Arial" w:hAnsi="Arial" w:cs="Arial"/>
        </w:rPr>
        <w:t xml:space="preserve"> [2013] </w:t>
      </w:r>
      <w:proofErr w:type="spellStart"/>
      <w:r w:rsidR="00105FCD">
        <w:rPr>
          <w:rFonts w:ascii="Arial" w:hAnsi="Arial" w:cs="Arial"/>
        </w:rPr>
        <w:t>AICmr</w:t>
      </w:r>
      <w:proofErr w:type="spellEnd"/>
      <w:r w:rsidR="00105FCD">
        <w:rPr>
          <w:rFonts w:ascii="Arial" w:hAnsi="Arial" w:cs="Arial"/>
        </w:rPr>
        <w:t xml:space="preserve"> 57 22 May 2013 (</w:t>
      </w:r>
      <w:r w:rsidR="00105FCD" w:rsidRPr="00105FCD">
        <w:rPr>
          <w:rFonts w:ascii="Arial" w:hAnsi="Arial" w:cs="Arial"/>
          <w:b/>
        </w:rPr>
        <w:t>Decision</w:t>
      </w:r>
      <w:r w:rsidR="00105FCD">
        <w:rPr>
          <w:rFonts w:ascii="Arial" w:hAnsi="Arial" w:cs="Arial"/>
        </w:rPr>
        <w:t xml:space="preserve">). The Decision </w:t>
      </w:r>
      <w:r w:rsidR="00AA7E6E">
        <w:rPr>
          <w:rFonts w:ascii="Arial" w:hAnsi="Arial" w:cs="Arial"/>
        </w:rPr>
        <w:t xml:space="preserve">only </w:t>
      </w:r>
      <w:r w:rsidR="00105FCD">
        <w:rPr>
          <w:rFonts w:ascii="Arial" w:hAnsi="Arial" w:cs="Arial"/>
        </w:rPr>
        <w:t>requires school names</w:t>
      </w:r>
      <w:r w:rsidR="00AA7E6E">
        <w:rPr>
          <w:rFonts w:ascii="Arial" w:hAnsi="Arial" w:cs="Arial"/>
        </w:rPr>
        <w:t>.</w:t>
      </w:r>
      <w:r w:rsidR="004978EF">
        <w:rPr>
          <w:rFonts w:ascii="Arial" w:hAnsi="Arial" w:cs="Arial"/>
        </w:rPr>
        <w:t xml:space="preserve"> </w:t>
      </w:r>
      <w:r w:rsidR="00472920">
        <w:rPr>
          <w:rFonts w:ascii="Arial" w:hAnsi="Arial" w:cs="Arial"/>
        </w:rPr>
        <w:t>The additional information is provided</w:t>
      </w:r>
      <w:r w:rsidR="004978EF">
        <w:rPr>
          <w:rFonts w:ascii="Arial" w:hAnsi="Arial" w:cs="Arial"/>
        </w:rPr>
        <w:t xml:space="preserve"> in order to avoid confusion, as there are instances where a number of schools have the same name, in different locations.</w:t>
      </w:r>
    </w:p>
    <w:p w14:paraId="65E70278" w14:textId="77777777" w:rsidR="00105FCD" w:rsidRPr="00105FCD" w:rsidRDefault="00105FCD" w:rsidP="00105FCD">
      <w:pPr>
        <w:spacing w:after="0" w:line="240" w:lineRule="auto"/>
        <w:rPr>
          <w:rFonts w:ascii="Arial" w:hAnsi="Arial" w:cs="Arial"/>
        </w:rPr>
      </w:pPr>
    </w:p>
    <w:p w14:paraId="6093136C" w14:textId="10E10C7C" w:rsidR="00584AB3" w:rsidRDefault="00AA008E" w:rsidP="0045250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05FCD">
        <w:rPr>
          <w:rFonts w:ascii="Arial" w:hAnsi="Arial" w:cs="Arial"/>
        </w:rPr>
        <w:t>he list of s</w:t>
      </w:r>
      <w:r>
        <w:rPr>
          <w:rFonts w:ascii="Arial" w:hAnsi="Arial" w:cs="Arial"/>
        </w:rPr>
        <w:t xml:space="preserve">chools is a historic record of the list of schools for which results were reported on </w:t>
      </w:r>
      <w:r w:rsidRPr="00AA008E">
        <w:rPr>
          <w:rFonts w:ascii="Arial" w:hAnsi="Arial" w:cs="Arial"/>
          <w:i/>
        </w:rPr>
        <w:t>My School</w:t>
      </w:r>
      <w:r>
        <w:rPr>
          <w:rFonts w:ascii="Arial" w:hAnsi="Arial" w:cs="Arial"/>
        </w:rPr>
        <w:t xml:space="preserve"> in each of 2008, 2009 and 2010</w:t>
      </w:r>
      <w:r w:rsidR="00584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</w:t>
      </w:r>
      <w:r w:rsidR="006B7BB9">
        <w:rPr>
          <w:rFonts w:ascii="Arial" w:hAnsi="Arial" w:cs="Arial"/>
        </w:rPr>
        <w:t>complies</w:t>
      </w:r>
      <w:r>
        <w:rPr>
          <w:rFonts w:ascii="Arial" w:hAnsi="Arial" w:cs="Arial"/>
        </w:rPr>
        <w:t xml:space="preserve"> with para 60 of the Decision.</w:t>
      </w:r>
    </w:p>
    <w:p w14:paraId="6C1266F0" w14:textId="77777777" w:rsidR="00105FCD" w:rsidRPr="00105FCD" w:rsidRDefault="00105FCD" w:rsidP="00105FCD">
      <w:pPr>
        <w:spacing w:after="0" w:line="240" w:lineRule="auto"/>
        <w:rPr>
          <w:rFonts w:ascii="Arial" w:hAnsi="Arial" w:cs="Arial"/>
        </w:rPr>
      </w:pPr>
    </w:p>
    <w:p w14:paraId="5D2B98A5" w14:textId="2B8DE29E" w:rsidR="00AB081A" w:rsidRDefault="00AA008E" w:rsidP="00AB081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Each year the list of schools for which results are reported on </w:t>
      </w:r>
      <w:r w:rsidRPr="000A58B1">
        <w:rPr>
          <w:rFonts w:ascii="Arial" w:hAnsi="Arial" w:cs="Arial"/>
          <w:i/>
        </w:rPr>
        <w:t>My School</w:t>
      </w:r>
      <w:r>
        <w:rPr>
          <w:rFonts w:ascii="Arial" w:hAnsi="Arial" w:cs="Arial"/>
        </w:rPr>
        <w:t xml:space="preserve"> changes. These changes can arise for any number of reason</w:t>
      </w:r>
      <w:r w:rsidR="000A58B1">
        <w:rPr>
          <w:rFonts w:ascii="Arial" w:hAnsi="Arial" w:cs="Arial"/>
        </w:rPr>
        <w:t xml:space="preserve">s, including but not limited to: </w:t>
      </w:r>
    </w:p>
    <w:p w14:paraId="6C8BD286" w14:textId="286626B7" w:rsidR="000A58B1" w:rsidRDefault="009A5137" w:rsidP="000A58B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Existing schools closing</w:t>
      </w:r>
      <w:r w:rsidR="00061B0B">
        <w:rPr>
          <w:rFonts w:ascii="Arial" w:hAnsi="Arial" w:cs="Arial"/>
        </w:rPr>
        <w:t>;</w:t>
      </w:r>
    </w:p>
    <w:p w14:paraId="675A5A22" w14:textId="77777777" w:rsidR="004A6E99" w:rsidRDefault="00061B0B" w:rsidP="000A58B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New schools opening;</w:t>
      </w:r>
      <w:r w:rsidR="00C901E6" w:rsidRPr="00C901E6">
        <w:rPr>
          <w:rFonts w:ascii="Arial" w:hAnsi="Arial" w:cs="Arial"/>
        </w:rPr>
        <w:t xml:space="preserve"> </w:t>
      </w:r>
    </w:p>
    <w:p w14:paraId="4B183DB0" w14:textId="158A01C0" w:rsidR="00061B0B" w:rsidRDefault="004A6E99" w:rsidP="000A58B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Schools not funded by government requesting their inclusion on the website; </w:t>
      </w:r>
      <w:r w:rsidR="00C901E6">
        <w:rPr>
          <w:rFonts w:ascii="Arial" w:hAnsi="Arial" w:cs="Arial"/>
        </w:rPr>
        <w:t>and</w:t>
      </w:r>
    </w:p>
    <w:p w14:paraId="1847EEBE" w14:textId="55A69779" w:rsidR="00105FCD" w:rsidRDefault="00061B0B" w:rsidP="00105FCD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Schools </w:t>
      </w:r>
      <w:r w:rsidR="009A5137">
        <w:rPr>
          <w:rFonts w:ascii="Arial" w:hAnsi="Arial" w:cs="Arial"/>
        </w:rPr>
        <w:t xml:space="preserve">merging and </w:t>
      </w:r>
      <w:r>
        <w:rPr>
          <w:rFonts w:ascii="Arial" w:hAnsi="Arial" w:cs="Arial"/>
        </w:rPr>
        <w:t>changing names</w:t>
      </w:r>
      <w:r w:rsidR="00C901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0DE3AE" w14:textId="77777777" w:rsidR="00105FCD" w:rsidRPr="00105FCD" w:rsidRDefault="00105FCD" w:rsidP="00105FCD">
      <w:pPr>
        <w:pStyle w:val="ListParagraph"/>
        <w:ind w:left="1134"/>
        <w:rPr>
          <w:rFonts w:ascii="Arial" w:hAnsi="Arial" w:cs="Arial"/>
        </w:rPr>
      </w:pPr>
    </w:p>
    <w:p w14:paraId="4257C27B" w14:textId="4F5391D1" w:rsidR="000A58B1" w:rsidRDefault="00D06F5B" w:rsidP="00061B0B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D06F5B">
        <w:rPr>
          <w:rFonts w:ascii="Arial" w:hAnsi="Arial" w:cs="Arial"/>
          <w:i/>
        </w:rPr>
        <w:t>My School</w:t>
      </w:r>
      <w:r w:rsidR="009A5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displays only the current list of schools (list of schools </w:t>
      </w:r>
      <w:r w:rsidR="0045250A">
        <w:rPr>
          <w:rFonts w:ascii="Arial" w:hAnsi="Arial" w:cs="Arial"/>
        </w:rPr>
        <w:t>provided by jurisdictional education authorities for the 2012</w:t>
      </w:r>
      <w:r>
        <w:rPr>
          <w:rFonts w:ascii="Arial" w:hAnsi="Arial" w:cs="Arial"/>
        </w:rPr>
        <w:t xml:space="preserve"> </w:t>
      </w:r>
      <w:r w:rsidR="00472920">
        <w:rPr>
          <w:rFonts w:ascii="Arial" w:hAnsi="Arial" w:cs="Arial"/>
        </w:rPr>
        <w:t xml:space="preserve">NAPLAN </w:t>
      </w:r>
      <w:r w:rsidR="0045250A">
        <w:rPr>
          <w:rFonts w:ascii="Arial" w:hAnsi="Arial" w:cs="Arial"/>
        </w:rPr>
        <w:t xml:space="preserve">results). This list of schools then drives all the other data on </w:t>
      </w:r>
      <w:r w:rsidR="0045250A" w:rsidRPr="000C7377">
        <w:rPr>
          <w:rFonts w:ascii="Arial" w:hAnsi="Arial" w:cs="Arial"/>
          <w:i/>
        </w:rPr>
        <w:t>My School</w:t>
      </w:r>
      <w:r w:rsidR="0045250A">
        <w:rPr>
          <w:rFonts w:ascii="Arial" w:hAnsi="Arial" w:cs="Arial"/>
        </w:rPr>
        <w:t>, including under each of the tabs 2008 – 2012.</w:t>
      </w:r>
    </w:p>
    <w:p w14:paraId="76E48B89" w14:textId="77777777" w:rsidR="00105FCD" w:rsidRDefault="00105FCD" w:rsidP="00105FCD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79D7A19F" w14:textId="5F9D4E28" w:rsidR="0045250A" w:rsidRDefault="00105FCD" w:rsidP="00061B0B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This means that the list of s</w:t>
      </w:r>
      <w:r w:rsidR="0045250A">
        <w:rPr>
          <w:rFonts w:ascii="Arial" w:hAnsi="Arial" w:cs="Arial"/>
        </w:rPr>
        <w:t xml:space="preserve">chools </w:t>
      </w:r>
      <w:r>
        <w:rPr>
          <w:rFonts w:ascii="Arial" w:hAnsi="Arial" w:cs="Arial"/>
        </w:rPr>
        <w:t>uploaded on the Right to Know website</w:t>
      </w:r>
      <w:r w:rsidR="0045250A">
        <w:rPr>
          <w:rFonts w:ascii="Arial" w:hAnsi="Arial" w:cs="Arial"/>
        </w:rPr>
        <w:t xml:space="preserve"> will </w:t>
      </w:r>
      <w:r w:rsidR="0045250A" w:rsidRPr="000C7377">
        <w:rPr>
          <w:rFonts w:ascii="Arial" w:hAnsi="Arial" w:cs="Arial"/>
          <w:b/>
        </w:rPr>
        <w:t xml:space="preserve">not </w:t>
      </w:r>
      <w:r w:rsidR="0045250A">
        <w:rPr>
          <w:rFonts w:ascii="Arial" w:hAnsi="Arial" w:cs="Arial"/>
        </w:rPr>
        <w:t>mat</w:t>
      </w:r>
      <w:r w:rsidR="009A5137">
        <w:rPr>
          <w:rFonts w:ascii="Arial" w:hAnsi="Arial" w:cs="Arial"/>
        </w:rPr>
        <w:t xml:space="preserve">ch the list of schools </w:t>
      </w:r>
      <w:r w:rsidR="00C901E6">
        <w:rPr>
          <w:rFonts w:ascii="Arial" w:hAnsi="Arial" w:cs="Arial"/>
        </w:rPr>
        <w:t xml:space="preserve">currently </w:t>
      </w:r>
      <w:r w:rsidR="009A5137">
        <w:rPr>
          <w:rFonts w:ascii="Arial" w:hAnsi="Arial" w:cs="Arial"/>
        </w:rPr>
        <w:t xml:space="preserve">reported on </w:t>
      </w:r>
      <w:r w:rsidR="0045250A" w:rsidRPr="0045250A">
        <w:rPr>
          <w:rFonts w:ascii="Arial" w:hAnsi="Arial" w:cs="Arial"/>
          <w:i/>
        </w:rPr>
        <w:t>My School</w:t>
      </w:r>
      <w:r w:rsidR="009A5137">
        <w:rPr>
          <w:rFonts w:ascii="Arial" w:hAnsi="Arial" w:cs="Arial"/>
        </w:rPr>
        <w:t>.</w:t>
      </w:r>
    </w:p>
    <w:p w14:paraId="30CC441A" w14:textId="77777777" w:rsidR="00105FCD" w:rsidRPr="00105FCD" w:rsidRDefault="00105FCD" w:rsidP="00105FCD">
      <w:pPr>
        <w:spacing w:after="0" w:line="240" w:lineRule="auto"/>
        <w:rPr>
          <w:rFonts w:ascii="Arial" w:hAnsi="Arial" w:cs="Arial"/>
        </w:rPr>
      </w:pPr>
    </w:p>
    <w:p w14:paraId="70CFC4B7" w14:textId="0446B72B" w:rsidR="000C7377" w:rsidRDefault="009A5137" w:rsidP="009A5137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Decision was made on 22 May 2013. Subsequent to the Decision, ACARA </w:t>
      </w:r>
      <w:r w:rsidR="006B7BB9">
        <w:rPr>
          <w:rFonts w:ascii="Arial" w:hAnsi="Arial" w:cs="Arial"/>
        </w:rPr>
        <w:t xml:space="preserve">published </w:t>
      </w:r>
      <w:r>
        <w:rPr>
          <w:rFonts w:ascii="Arial" w:hAnsi="Arial" w:cs="Arial"/>
        </w:rPr>
        <w:t>a current list of schools on its public website (</w:t>
      </w:r>
      <w:hyperlink r:id="rId5" w:history="1">
        <w:r w:rsidRPr="009A5137">
          <w:rPr>
            <w:rStyle w:val="Hyperlink"/>
            <w:rFonts w:ascii="Arial" w:hAnsi="Arial" w:cs="Arial"/>
          </w:rPr>
          <w:t>http://www.acara.edu.au/reporting/acara_school_list.html</w:t>
        </w:r>
      </w:hyperlink>
      <w:r>
        <w:rPr>
          <w:rFonts w:ascii="Arial" w:hAnsi="Arial" w:cs="Arial"/>
        </w:rPr>
        <w:t>)</w:t>
      </w:r>
      <w:r w:rsidR="0067518A">
        <w:rPr>
          <w:rFonts w:ascii="Arial" w:hAnsi="Arial" w:cs="Arial"/>
        </w:rPr>
        <w:t xml:space="preserve"> (</w:t>
      </w:r>
      <w:r w:rsidR="0067518A" w:rsidRPr="0067518A">
        <w:rPr>
          <w:rFonts w:ascii="Arial" w:hAnsi="Arial" w:cs="Arial"/>
          <w:b/>
        </w:rPr>
        <w:t>Published List</w:t>
      </w:r>
      <w:r w:rsidR="006751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67518A">
        <w:rPr>
          <w:rFonts w:ascii="Arial" w:hAnsi="Arial" w:cs="Arial"/>
        </w:rPr>
        <w:t xml:space="preserve">The Published List </w:t>
      </w:r>
      <w:r w:rsidRPr="009A5137">
        <w:rPr>
          <w:rFonts w:ascii="Arial" w:hAnsi="Arial" w:cs="Arial"/>
        </w:rPr>
        <w:t>is current as at 25 June 2013.</w:t>
      </w:r>
      <w:r>
        <w:rPr>
          <w:rFonts w:ascii="Arial" w:hAnsi="Arial" w:cs="Arial"/>
        </w:rPr>
        <w:t xml:space="preserve"> </w:t>
      </w:r>
      <w:r w:rsidR="009377CC">
        <w:rPr>
          <w:rFonts w:ascii="Arial" w:hAnsi="Arial" w:cs="Arial"/>
        </w:rPr>
        <w:t xml:space="preserve">At the time of publication, </w:t>
      </w:r>
      <w:r w:rsidR="0067518A">
        <w:rPr>
          <w:rFonts w:ascii="Arial" w:hAnsi="Arial" w:cs="Arial"/>
        </w:rPr>
        <w:t>the Published List</w:t>
      </w:r>
      <w:r w:rsidR="009377CC">
        <w:rPr>
          <w:rFonts w:ascii="Arial" w:hAnsi="Arial" w:cs="Arial"/>
        </w:rPr>
        <w:t xml:space="preserve"> match</w:t>
      </w:r>
      <w:r w:rsidR="0067518A">
        <w:rPr>
          <w:rFonts w:ascii="Arial" w:hAnsi="Arial" w:cs="Arial"/>
        </w:rPr>
        <w:t>ed the list of schools reported</w:t>
      </w:r>
      <w:r w:rsidR="009377CC">
        <w:rPr>
          <w:rFonts w:ascii="Arial" w:hAnsi="Arial" w:cs="Arial"/>
        </w:rPr>
        <w:t xml:space="preserve"> on </w:t>
      </w:r>
      <w:r w:rsidR="009377CC" w:rsidRPr="009377CC">
        <w:rPr>
          <w:rFonts w:ascii="Arial" w:hAnsi="Arial" w:cs="Arial"/>
          <w:i/>
        </w:rPr>
        <w:t>My School</w:t>
      </w:r>
      <w:r w:rsidR="009377CC">
        <w:rPr>
          <w:rFonts w:ascii="Arial" w:hAnsi="Arial" w:cs="Arial"/>
        </w:rPr>
        <w:t xml:space="preserve">, as </w:t>
      </w:r>
      <w:r w:rsidR="009377CC" w:rsidRPr="009377CC">
        <w:rPr>
          <w:rFonts w:ascii="Arial" w:hAnsi="Arial" w:cs="Arial"/>
          <w:i/>
        </w:rPr>
        <w:t>My School</w:t>
      </w:r>
      <w:r w:rsidR="009377CC">
        <w:rPr>
          <w:rFonts w:ascii="Arial" w:hAnsi="Arial" w:cs="Arial"/>
        </w:rPr>
        <w:t xml:space="preserve"> is updated </w:t>
      </w:r>
      <w:r w:rsidR="004A6E99">
        <w:rPr>
          <w:rFonts w:ascii="Arial" w:hAnsi="Arial" w:cs="Arial"/>
        </w:rPr>
        <w:t>when ACARA is advised of</w:t>
      </w:r>
      <w:r w:rsidR="009377CC">
        <w:rPr>
          <w:rFonts w:ascii="Arial" w:hAnsi="Arial" w:cs="Arial"/>
        </w:rPr>
        <w:t xml:space="preserve"> changes</w:t>
      </w:r>
      <w:r w:rsidR="0067518A">
        <w:rPr>
          <w:rFonts w:ascii="Arial" w:hAnsi="Arial" w:cs="Arial"/>
        </w:rPr>
        <w:t xml:space="preserve"> to the list of schools</w:t>
      </w:r>
      <w:r w:rsidR="009377CC">
        <w:rPr>
          <w:rFonts w:ascii="Arial" w:hAnsi="Arial" w:cs="Arial"/>
        </w:rPr>
        <w:t>. However, if there have been changes to the list of schools</w:t>
      </w:r>
      <w:r w:rsidR="0067518A">
        <w:rPr>
          <w:rFonts w:ascii="Arial" w:hAnsi="Arial" w:cs="Arial"/>
        </w:rPr>
        <w:t xml:space="preserve"> since this date, then the Published List</w:t>
      </w:r>
      <w:r w:rsidR="009377CC">
        <w:rPr>
          <w:rFonts w:ascii="Arial" w:hAnsi="Arial" w:cs="Arial"/>
        </w:rPr>
        <w:t xml:space="preserve"> will </w:t>
      </w:r>
      <w:r w:rsidR="009377CC" w:rsidRPr="009377CC">
        <w:rPr>
          <w:rFonts w:ascii="Arial" w:hAnsi="Arial" w:cs="Arial"/>
          <w:b/>
        </w:rPr>
        <w:t>not</w:t>
      </w:r>
      <w:r w:rsidR="009377CC">
        <w:rPr>
          <w:rFonts w:ascii="Arial" w:hAnsi="Arial" w:cs="Arial"/>
        </w:rPr>
        <w:t xml:space="preserve"> match the list of schools </w:t>
      </w:r>
      <w:r w:rsidR="0067518A">
        <w:rPr>
          <w:rFonts w:ascii="Arial" w:hAnsi="Arial" w:cs="Arial"/>
        </w:rPr>
        <w:t xml:space="preserve">reported </w:t>
      </w:r>
      <w:r w:rsidR="009377CC">
        <w:rPr>
          <w:rFonts w:ascii="Arial" w:hAnsi="Arial" w:cs="Arial"/>
        </w:rPr>
        <w:t xml:space="preserve">on </w:t>
      </w:r>
      <w:r w:rsidR="009377CC" w:rsidRPr="009377CC">
        <w:rPr>
          <w:rFonts w:ascii="Arial" w:hAnsi="Arial" w:cs="Arial"/>
          <w:i/>
        </w:rPr>
        <w:t>My School</w:t>
      </w:r>
      <w:r w:rsidR="009377CC">
        <w:rPr>
          <w:rFonts w:ascii="Arial" w:hAnsi="Arial" w:cs="Arial"/>
        </w:rPr>
        <w:t>.</w:t>
      </w:r>
    </w:p>
    <w:p w14:paraId="38CAC0B8" w14:textId="77777777" w:rsidR="0060445C" w:rsidRPr="0060445C" w:rsidRDefault="0060445C" w:rsidP="0060445C">
      <w:pPr>
        <w:spacing w:after="0" w:line="240" w:lineRule="auto"/>
        <w:rPr>
          <w:rFonts w:ascii="Arial" w:hAnsi="Arial" w:cs="Arial"/>
        </w:rPr>
      </w:pPr>
    </w:p>
    <w:p w14:paraId="4E1D9A32" w14:textId="294D8EEE" w:rsidR="00F61E05" w:rsidRPr="009A5137" w:rsidRDefault="00F61E05" w:rsidP="009A5137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0445C">
        <w:rPr>
          <w:rFonts w:ascii="Arial" w:hAnsi="Arial" w:cs="Arial"/>
        </w:rPr>
        <w:t>he list of s</w:t>
      </w:r>
      <w:r>
        <w:rPr>
          <w:rFonts w:ascii="Arial" w:hAnsi="Arial" w:cs="Arial"/>
        </w:rPr>
        <w:t>chools can be sorted by year (2008 – 2010) by checking the relevant box. If all boxes are checked, that is, if you want to display all years 2008-2010, the list will appear sequentially</w:t>
      </w:r>
      <w:r w:rsidR="00584AB3">
        <w:rPr>
          <w:rFonts w:ascii="Arial" w:hAnsi="Arial" w:cs="Arial"/>
        </w:rPr>
        <w:t xml:space="preserve"> by year.</w:t>
      </w:r>
    </w:p>
    <w:p w14:paraId="3BCCD09C" w14:textId="77777777" w:rsidR="00390AC9" w:rsidRDefault="00390AC9" w:rsidP="00061B0B">
      <w:pPr>
        <w:spacing w:after="0" w:line="240" w:lineRule="auto"/>
        <w:rPr>
          <w:rFonts w:ascii="Arial" w:hAnsi="Arial" w:cs="Arial"/>
        </w:rPr>
      </w:pPr>
    </w:p>
    <w:sectPr w:rsidR="0039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ADC"/>
    <w:multiLevelType w:val="hybridMultilevel"/>
    <w:tmpl w:val="42984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4F6"/>
    <w:multiLevelType w:val="hybridMultilevel"/>
    <w:tmpl w:val="9202E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8BF"/>
    <w:multiLevelType w:val="hybridMultilevel"/>
    <w:tmpl w:val="3C82D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57C"/>
    <w:multiLevelType w:val="hybridMultilevel"/>
    <w:tmpl w:val="45C03226"/>
    <w:lvl w:ilvl="0" w:tplc="0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7712C2"/>
    <w:multiLevelType w:val="hybridMultilevel"/>
    <w:tmpl w:val="BBB6AC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2A61"/>
    <w:multiLevelType w:val="hybridMultilevel"/>
    <w:tmpl w:val="24542AC8"/>
    <w:lvl w:ilvl="0" w:tplc="0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9545DE"/>
    <w:multiLevelType w:val="hybridMultilevel"/>
    <w:tmpl w:val="54AE0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623B0"/>
    <w:multiLevelType w:val="hybridMultilevel"/>
    <w:tmpl w:val="AFEC7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0"/>
    <w:rsid w:val="00061B0B"/>
    <w:rsid w:val="0006761E"/>
    <w:rsid w:val="00072F8F"/>
    <w:rsid w:val="000A58B1"/>
    <w:rsid w:val="000A7109"/>
    <w:rsid w:val="000C7377"/>
    <w:rsid w:val="000D7230"/>
    <w:rsid w:val="00105FCD"/>
    <w:rsid w:val="00154928"/>
    <w:rsid w:val="001D085E"/>
    <w:rsid w:val="00293DCC"/>
    <w:rsid w:val="00322FC7"/>
    <w:rsid w:val="003518EF"/>
    <w:rsid w:val="00366AC2"/>
    <w:rsid w:val="00390AC9"/>
    <w:rsid w:val="003F37ED"/>
    <w:rsid w:val="0042055F"/>
    <w:rsid w:val="0045250A"/>
    <w:rsid w:val="0047100A"/>
    <w:rsid w:val="00472920"/>
    <w:rsid w:val="00487C40"/>
    <w:rsid w:val="004978EF"/>
    <w:rsid w:val="004A4491"/>
    <w:rsid w:val="004A6E99"/>
    <w:rsid w:val="004C0E7F"/>
    <w:rsid w:val="004C711B"/>
    <w:rsid w:val="00570AD8"/>
    <w:rsid w:val="00571776"/>
    <w:rsid w:val="00584AB3"/>
    <w:rsid w:val="005A15E6"/>
    <w:rsid w:val="005B2977"/>
    <w:rsid w:val="0060445C"/>
    <w:rsid w:val="0067518A"/>
    <w:rsid w:val="006B7BB9"/>
    <w:rsid w:val="006C5296"/>
    <w:rsid w:val="0070217C"/>
    <w:rsid w:val="00726C76"/>
    <w:rsid w:val="00745511"/>
    <w:rsid w:val="00802494"/>
    <w:rsid w:val="00831D4A"/>
    <w:rsid w:val="008C1340"/>
    <w:rsid w:val="009224C0"/>
    <w:rsid w:val="009377CC"/>
    <w:rsid w:val="009754C8"/>
    <w:rsid w:val="009A5137"/>
    <w:rsid w:val="00A27492"/>
    <w:rsid w:val="00AA008E"/>
    <w:rsid w:val="00AA7E6E"/>
    <w:rsid w:val="00AB081A"/>
    <w:rsid w:val="00AB7491"/>
    <w:rsid w:val="00B6253E"/>
    <w:rsid w:val="00B73113"/>
    <w:rsid w:val="00BA65D6"/>
    <w:rsid w:val="00C02E96"/>
    <w:rsid w:val="00C20CF6"/>
    <w:rsid w:val="00C241B5"/>
    <w:rsid w:val="00C901E6"/>
    <w:rsid w:val="00CC2801"/>
    <w:rsid w:val="00D06F5B"/>
    <w:rsid w:val="00D1045E"/>
    <w:rsid w:val="00D56B00"/>
    <w:rsid w:val="00D747FB"/>
    <w:rsid w:val="00F61E05"/>
    <w:rsid w:val="00F677DC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E311"/>
  <w15:chartTrackingRefBased/>
  <w15:docId w15:val="{28E7B187-F684-4B38-8256-98DF1AA8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ra.edu.au/reporting/acara_school_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Verey, Peter</dc:creator>
  <cp:keywords/>
  <dc:description/>
  <cp:lastModifiedBy>Verey, Peter</cp:lastModifiedBy>
  <cp:revision>3</cp:revision>
  <cp:lastPrinted>2013-11-18T00:37:00Z</cp:lastPrinted>
  <dcterms:created xsi:type="dcterms:W3CDTF">2013-11-21T00:22:00Z</dcterms:created>
  <dcterms:modified xsi:type="dcterms:W3CDTF">2013-11-21T00:23:00Z</dcterms:modified>
</cp:coreProperties>
</file>